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FC028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FC028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FC028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FC028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FC028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FC028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FC028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FC0285" w:rsidRDefault="00E31AC1" w:rsidP="004371FD">
      <w:pPr>
        <w:spacing w:after="0" w:line="480" w:lineRule="auto"/>
        <w:jc w:val="center"/>
        <w:rPr>
          <w:b/>
          <w:szCs w:val="24"/>
        </w:rPr>
      </w:pPr>
      <w:r w:rsidRPr="00FC0285">
        <w:rPr>
          <w:b/>
          <w:szCs w:val="24"/>
        </w:rPr>
        <w:t>Country Risk Analysis</w:t>
      </w:r>
    </w:p>
    <w:p w:rsidR="004721F4" w:rsidRPr="00FC0285" w:rsidRDefault="004835BB" w:rsidP="004371FD">
      <w:pPr>
        <w:spacing w:after="0" w:line="480" w:lineRule="auto"/>
        <w:jc w:val="center"/>
        <w:rPr>
          <w:szCs w:val="24"/>
        </w:rPr>
      </w:pPr>
      <w:r w:rsidRPr="00FC0285">
        <w:rPr>
          <w:szCs w:val="24"/>
        </w:rPr>
        <w:t>Student</w:t>
      </w:r>
      <w:r w:rsidR="00FC0285">
        <w:rPr>
          <w:szCs w:val="24"/>
        </w:rPr>
        <w:t>'</w:t>
      </w:r>
      <w:r w:rsidRPr="00FC0285">
        <w:rPr>
          <w:szCs w:val="24"/>
        </w:rPr>
        <w:t>s Name</w:t>
      </w:r>
    </w:p>
    <w:p w:rsidR="00DF17F4" w:rsidRPr="00FC0285" w:rsidRDefault="004835BB" w:rsidP="004371FD">
      <w:pPr>
        <w:spacing w:after="0" w:line="480" w:lineRule="auto"/>
        <w:jc w:val="center"/>
        <w:rPr>
          <w:szCs w:val="24"/>
        </w:rPr>
      </w:pPr>
      <w:r w:rsidRPr="00FC0285">
        <w:rPr>
          <w:szCs w:val="24"/>
        </w:rPr>
        <w:t>Institution of Affiliation</w:t>
      </w:r>
    </w:p>
    <w:p w:rsidR="00DF17F4" w:rsidRPr="00FC0285" w:rsidRDefault="004835BB" w:rsidP="004371FD">
      <w:pPr>
        <w:spacing w:after="0" w:line="480" w:lineRule="auto"/>
        <w:jc w:val="center"/>
        <w:rPr>
          <w:szCs w:val="24"/>
        </w:rPr>
      </w:pPr>
      <w:r w:rsidRPr="00FC0285">
        <w:rPr>
          <w:szCs w:val="24"/>
        </w:rPr>
        <w:t>Date</w:t>
      </w:r>
    </w:p>
    <w:p w:rsidR="00DF17F4" w:rsidRPr="00FC0285" w:rsidRDefault="00DF17F4" w:rsidP="004371FD">
      <w:pPr>
        <w:spacing w:after="0" w:line="480" w:lineRule="auto"/>
        <w:rPr>
          <w:szCs w:val="24"/>
        </w:rPr>
      </w:pPr>
    </w:p>
    <w:p w:rsidR="00DF17F4" w:rsidRPr="00FC0285" w:rsidRDefault="00DF17F4" w:rsidP="004371FD">
      <w:pPr>
        <w:spacing w:after="0" w:line="480" w:lineRule="auto"/>
        <w:rPr>
          <w:szCs w:val="24"/>
        </w:rPr>
      </w:pPr>
    </w:p>
    <w:p w:rsidR="00DF17F4" w:rsidRPr="00FC0285" w:rsidRDefault="00DF17F4" w:rsidP="004371FD">
      <w:pPr>
        <w:spacing w:after="0" w:line="480" w:lineRule="auto"/>
        <w:rPr>
          <w:szCs w:val="24"/>
        </w:rPr>
      </w:pPr>
    </w:p>
    <w:p w:rsidR="00DF17F4" w:rsidRPr="00FC0285" w:rsidRDefault="00DF17F4" w:rsidP="004371FD">
      <w:pPr>
        <w:spacing w:after="0" w:line="480" w:lineRule="auto"/>
        <w:rPr>
          <w:szCs w:val="24"/>
        </w:rPr>
      </w:pPr>
    </w:p>
    <w:p w:rsidR="00DF17F4" w:rsidRPr="00FC0285" w:rsidRDefault="00DF17F4" w:rsidP="004371FD">
      <w:pPr>
        <w:spacing w:after="0" w:line="480" w:lineRule="auto"/>
        <w:rPr>
          <w:szCs w:val="24"/>
        </w:rPr>
      </w:pPr>
    </w:p>
    <w:p w:rsidR="00DF17F4" w:rsidRPr="00FC0285" w:rsidRDefault="00DF17F4" w:rsidP="004371FD">
      <w:pPr>
        <w:spacing w:after="0" w:line="480" w:lineRule="auto"/>
        <w:rPr>
          <w:szCs w:val="24"/>
        </w:rPr>
      </w:pPr>
    </w:p>
    <w:p w:rsidR="004371FD" w:rsidRPr="00FC0285" w:rsidRDefault="004371FD" w:rsidP="004371FD">
      <w:pPr>
        <w:spacing w:after="0" w:line="480" w:lineRule="auto"/>
        <w:rPr>
          <w:szCs w:val="24"/>
        </w:rPr>
      </w:pPr>
    </w:p>
    <w:p w:rsidR="004371FD" w:rsidRPr="00FC0285" w:rsidRDefault="004371FD" w:rsidP="004371FD">
      <w:pPr>
        <w:spacing w:after="0" w:line="480" w:lineRule="auto"/>
        <w:rPr>
          <w:szCs w:val="24"/>
        </w:rPr>
      </w:pPr>
    </w:p>
    <w:p w:rsidR="00C93DFD" w:rsidRPr="00FC0285" w:rsidRDefault="00C93DFD" w:rsidP="004371FD">
      <w:pPr>
        <w:spacing w:after="0" w:line="480" w:lineRule="auto"/>
        <w:rPr>
          <w:szCs w:val="24"/>
        </w:rPr>
      </w:pPr>
    </w:p>
    <w:p w:rsidR="004371FD" w:rsidRPr="00FC0285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FC0285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FC0285" w:rsidRDefault="002B55F7" w:rsidP="00366AF3">
      <w:pPr>
        <w:spacing w:after="0" w:line="480" w:lineRule="auto"/>
        <w:rPr>
          <w:b/>
          <w:szCs w:val="24"/>
        </w:rPr>
      </w:pPr>
    </w:p>
    <w:p w:rsidR="00D67378" w:rsidRPr="00FC0285" w:rsidRDefault="00FC7F23" w:rsidP="004835BB">
      <w:pPr>
        <w:spacing w:after="0" w:line="480" w:lineRule="auto"/>
        <w:jc w:val="center"/>
        <w:rPr>
          <w:b/>
          <w:szCs w:val="24"/>
        </w:rPr>
      </w:pPr>
      <w:r w:rsidRPr="00FC0285">
        <w:rPr>
          <w:b/>
          <w:szCs w:val="24"/>
        </w:rPr>
        <w:lastRenderedPageBreak/>
        <w:t>Introduction</w:t>
      </w:r>
    </w:p>
    <w:p w:rsidR="003B6A37" w:rsidRPr="00FC0285" w:rsidRDefault="00FC7F23" w:rsidP="00E57D49">
      <w:pPr>
        <w:spacing w:after="0" w:line="480" w:lineRule="auto"/>
        <w:rPr>
          <w:bCs/>
          <w:szCs w:val="24"/>
        </w:rPr>
      </w:pPr>
      <w:r w:rsidRPr="00FC0285">
        <w:rPr>
          <w:b/>
          <w:szCs w:val="24"/>
        </w:rPr>
        <w:tab/>
      </w:r>
      <w:r w:rsidR="00DB3E01" w:rsidRPr="00FC0285">
        <w:rPr>
          <w:bCs/>
          <w:szCs w:val="24"/>
        </w:rPr>
        <w:t xml:space="preserve">China is a country </w:t>
      </w:r>
      <w:r w:rsidR="00FC0285">
        <w:rPr>
          <w:bCs/>
          <w:szCs w:val="24"/>
        </w:rPr>
        <w:t xml:space="preserve">in </w:t>
      </w:r>
      <w:r w:rsidR="00DB3E01" w:rsidRPr="00FC0285">
        <w:rPr>
          <w:bCs/>
          <w:szCs w:val="24"/>
        </w:rPr>
        <w:t>East Asia b</w:t>
      </w:r>
      <w:r w:rsidR="00143DBF" w:rsidRPr="00FC0285">
        <w:rPr>
          <w:bCs/>
          <w:szCs w:val="24"/>
        </w:rPr>
        <w:t>ordering 14 countries and territories</w:t>
      </w:r>
      <w:r w:rsidR="00FC0285">
        <w:rPr>
          <w:bCs/>
          <w:szCs w:val="24"/>
        </w:rPr>
        <w:t>,</w:t>
      </w:r>
      <w:r w:rsidR="00143DBF" w:rsidRPr="00FC0285">
        <w:rPr>
          <w:bCs/>
          <w:szCs w:val="24"/>
        </w:rPr>
        <w:t xml:space="preserve"> including Afghanistan, Bhutan, </w:t>
      </w:r>
      <w:r w:rsidR="0055299F" w:rsidRPr="00FC0285">
        <w:rPr>
          <w:bCs/>
          <w:szCs w:val="24"/>
        </w:rPr>
        <w:t>Burma, India, Nepal, Kazakhstan, Russia, North Korea, Pakistan, Tajikistan, Laos, Kyrgyzstan, Mongolia</w:t>
      </w:r>
      <w:r w:rsidR="00FC0285">
        <w:rPr>
          <w:bCs/>
          <w:szCs w:val="24"/>
        </w:rPr>
        <w:t>,</w:t>
      </w:r>
      <w:r w:rsidR="0055299F" w:rsidRPr="00FC0285">
        <w:rPr>
          <w:bCs/>
          <w:szCs w:val="24"/>
        </w:rPr>
        <w:t xml:space="preserve"> and Vietnam. </w:t>
      </w:r>
      <w:r w:rsidR="003F4823" w:rsidRPr="00FC0285">
        <w:rPr>
          <w:bCs/>
          <w:szCs w:val="24"/>
        </w:rPr>
        <w:t xml:space="preserve">It is the largest country in Asia and </w:t>
      </w:r>
      <w:r w:rsidR="00FC0285">
        <w:rPr>
          <w:bCs/>
          <w:szCs w:val="24"/>
        </w:rPr>
        <w:t>the</w:t>
      </w:r>
      <w:r w:rsidR="003F4823" w:rsidRPr="00FC0285">
        <w:rPr>
          <w:bCs/>
          <w:szCs w:val="24"/>
        </w:rPr>
        <w:t xml:space="preserve"> world</w:t>
      </w:r>
      <w:r w:rsidR="00FC0285">
        <w:rPr>
          <w:bCs/>
          <w:szCs w:val="24"/>
        </w:rPr>
        <w:t>'s</w:t>
      </w:r>
      <w:r w:rsidR="003F4823" w:rsidRPr="00FC0285">
        <w:rPr>
          <w:bCs/>
          <w:szCs w:val="24"/>
        </w:rPr>
        <w:t xml:space="preserve"> most populous country</w:t>
      </w:r>
      <w:r w:rsidR="00FC0285">
        <w:rPr>
          <w:bCs/>
          <w:szCs w:val="24"/>
        </w:rPr>
        <w:t>,</w:t>
      </w:r>
      <w:r w:rsidR="003F4823" w:rsidRPr="00FC0285">
        <w:rPr>
          <w:bCs/>
          <w:szCs w:val="24"/>
        </w:rPr>
        <w:t xml:space="preserve"> with </w:t>
      </w:r>
      <w:r w:rsidR="004E5F3B" w:rsidRPr="00FC0285">
        <w:rPr>
          <w:bCs/>
          <w:szCs w:val="24"/>
        </w:rPr>
        <w:t xml:space="preserve">a population of </w:t>
      </w:r>
      <w:r w:rsidR="00E966A7" w:rsidRPr="00FC0285">
        <w:rPr>
          <w:bCs/>
          <w:szCs w:val="24"/>
        </w:rPr>
        <w:t xml:space="preserve">1.398 billion people. </w:t>
      </w:r>
      <w:r w:rsidR="00756C8B" w:rsidRPr="00FC0285">
        <w:rPr>
          <w:bCs/>
          <w:szCs w:val="24"/>
        </w:rPr>
        <w:t xml:space="preserve">In the past 4 decades, China has experienced significant economic growth occasioned by the passing of the trade liberalization and economic reforms in 1978 </w:t>
      </w:r>
      <w:r w:rsidR="00867F6A" w:rsidRPr="00FC0285">
        <w:rPr>
          <w:bCs/>
          <w:szCs w:val="24"/>
        </w:rPr>
        <w:t>that saw the government increase it</w:t>
      </w:r>
      <w:r w:rsidR="00FC0285">
        <w:rPr>
          <w:bCs/>
          <w:szCs w:val="24"/>
        </w:rPr>
        <w:t>s</w:t>
      </w:r>
      <w:r w:rsidR="00867F6A" w:rsidRPr="00FC0285">
        <w:rPr>
          <w:bCs/>
          <w:szCs w:val="24"/>
        </w:rPr>
        <w:t xml:space="preserve"> spending on expanding the manufacturing sector </w:t>
      </w:r>
      <w:r w:rsidR="007C4355" w:rsidRPr="00FC0285">
        <w:rPr>
          <w:bCs/>
          <w:szCs w:val="24"/>
        </w:rPr>
        <w:t>and exports</w:t>
      </w:r>
      <w:r w:rsidR="001F4B88" w:rsidRPr="00FC0285">
        <w:rPr>
          <w:bCs/>
          <w:szCs w:val="24"/>
        </w:rPr>
        <w:t xml:space="preserve"> (</w:t>
      </w:r>
      <w:r w:rsidR="001F4B88" w:rsidRPr="00FC0285">
        <w:rPr>
          <w:color w:val="222222"/>
          <w:szCs w:val="24"/>
          <w:shd w:val="clear" w:color="auto" w:fill="FFFFFF"/>
        </w:rPr>
        <w:t>Warner,2019)</w:t>
      </w:r>
      <w:r w:rsidR="007C4355" w:rsidRPr="00FC0285">
        <w:rPr>
          <w:bCs/>
          <w:szCs w:val="24"/>
        </w:rPr>
        <w:t>. These economic reforms propelled China</w:t>
      </w:r>
      <w:r w:rsidR="00FC0285">
        <w:rPr>
          <w:bCs/>
          <w:szCs w:val="24"/>
        </w:rPr>
        <w:t>'</w:t>
      </w:r>
      <w:r w:rsidR="007C4355" w:rsidRPr="00FC0285">
        <w:rPr>
          <w:bCs/>
          <w:szCs w:val="24"/>
        </w:rPr>
        <w:t xml:space="preserve">s growth to be an emerging economy of the world. Its emerging economy coupled with its high population provides market opportunities for </w:t>
      </w:r>
      <w:r w:rsidR="00710FB6" w:rsidRPr="00FC0285">
        <w:rPr>
          <w:bCs/>
          <w:szCs w:val="24"/>
        </w:rPr>
        <w:t>foreign investment and goods and services.</w:t>
      </w:r>
      <w:r w:rsidR="008F7316" w:rsidRPr="00FC0285">
        <w:rPr>
          <w:bCs/>
          <w:szCs w:val="24"/>
        </w:rPr>
        <w:t xml:space="preserve"> While China</w:t>
      </w:r>
      <w:r w:rsidR="00FC0285">
        <w:rPr>
          <w:bCs/>
          <w:szCs w:val="24"/>
        </w:rPr>
        <w:t>'</w:t>
      </w:r>
      <w:r w:rsidR="008F7316" w:rsidRPr="00FC0285">
        <w:rPr>
          <w:bCs/>
          <w:szCs w:val="24"/>
        </w:rPr>
        <w:t>s economic growth provides numerous market opportunities for foreign investment</w:t>
      </w:r>
      <w:r w:rsidR="009A7DB6" w:rsidRPr="00FC0285">
        <w:rPr>
          <w:bCs/>
          <w:szCs w:val="24"/>
        </w:rPr>
        <w:t xml:space="preserve">, it is critical for any business or investor to evaluate the risk of investing in the country. </w:t>
      </w:r>
      <w:r w:rsidR="00D61F6C" w:rsidRPr="00FC0285">
        <w:rPr>
          <w:bCs/>
          <w:szCs w:val="24"/>
        </w:rPr>
        <w:t xml:space="preserve">This </w:t>
      </w:r>
      <w:r w:rsidR="003C05E5" w:rsidRPr="00FC0285">
        <w:rPr>
          <w:bCs/>
          <w:szCs w:val="24"/>
        </w:rPr>
        <w:t xml:space="preserve">paper will analyze the </w:t>
      </w:r>
      <w:r w:rsidR="005F2E6F" w:rsidRPr="00FC0285">
        <w:rPr>
          <w:bCs/>
          <w:szCs w:val="24"/>
        </w:rPr>
        <w:t>social</w:t>
      </w:r>
      <w:r w:rsidR="006412ED" w:rsidRPr="00FC0285">
        <w:rPr>
          <w:bCs/>
          <w:szCs w:val="24"/>
        </w:rPr>
        <w:t>, macroeconomic</w:t>
      </w:r>
      <w:r w:rsidR="00FC0285">
        <w:rPr>
          <w:bCs/>
          <w:szCs w:val="24"/>
        </w:rPr>
        <w:t>,</w:t>
      </w:r>
      <w:r w:rsidR="005F2E6F" w:rsidRPr="00FC0285">
        <w:rPr>
          <w:bCs/>
          <w:szCs w:val="24"/>
        </w:rPr>
        <w:t xml:space="preserve"> and </w:t>
      </w:r>
      <w:r w:rsidR="0014710A" w:rsidRPr="00FC0285">
        <w:rPr>
          <w:bCs/>
          <w:szCs w:val="24"/>
        </w:rPr>
        <w:t xml:space="preserve">political </w:t>
      </w:r>
      <w:r w:rsidR="006412ED" w:rsidRPr="00FC0285">
        <w:rPr>
          <w:bCs/>
          <w:szCs w:val="24"/>
        </w:rPr>
        <w:t>variables</w:t>
      </w:r>
      <w:r w:rsidR="00D55E41" w:rsidRPr="00FC0285">
        <w:rPr>
          <w:bCs/>
          <w:szCs w:val="24"/>
        </w:rPr>
        <w:t xml:space="preserve"> in China to help foreign businesses and investors determine how the risks can affect their businesses. </w:t>
      </w:r>
    </w:p>
    <w:p w:rsidR="006B4E2F" w:rsidRPr="00FC0285" w:rsidRDefault="00720110" w:rsidP="00E57D49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t>Social Factors</w:t>
      </w:r>
    </w:p>
    <w:p w:rsidR="00720110" w:rsidRPr="00FC0285" w:rsidRDefault="00720110" w:rsidP="006B4E2F">
      <w:pPr>
        <w:spacing w:after="0" w:line="480" w:lineRule="auto"/>
        <w:rPr>
          <w:szCs w:val="24"/>
        </w:rPr>
      </w:pPr>
      <w:r w:rsidRPr="00FC0285">
        <w:rPr>
          <w:b/>
          <w:bCs/>
          <w:szCs w:val="24"/>
        </w:rPr>
        <w:tab/>
      </w:r>
      <w:r w:rsidRPr="00FC0285">
        <w:rPr>
          <w:szCs w:val="24"/>
        </w:rPr>
        <w:t>Th</w:t>
      </w:r>
      <w:r w:rsidR="00FC0285">
        <w:rPr>
          <w:szCs w:val="24"/>
        </w:rPr>
        <w:t>ese</w:t>
      </w:r>
      <w:r w:rsidRPr="00FC0285">
        <w:rPr>
          <w:szCs w:val="24"/>
        </w:rPr>
        <w:t xml:space="preserve"> are things that affect people</w:t>
      </w:r>
      <w:r w:rsidR="00FC0285">
        <w:rPr>
          <w:szCs w:val="24"/>
        </w:rPr>
        <w:t>'</w:t>
      </w:r>
      <w:r w:rsidRPr="00FC0285">
        <w:rPr>
          <w:szCs w:val="24"/>
        </w:rPr>
        <w:t>s lifestyle</w:t>
      </w:r>
      <w:r w:rsidR="00FC0285">
        <w:rPr>
          <w:szCs w:val="24"/>
        </w:rPr>
        <w:t>s</w:t>
      </w:r>
      <w:r w:rsidR="00BF20E0" w:rsidRPr="00FC0285">
        <w:rPr>
          <w:szCs w:val="24"/>
        </w:rPr>
        <w:t>. They involve beliefs, education level</w:t>
      </w:r>
      <w:r w:rsidR="00FC0285">
        <w:rPr>
          <w:szCs w:val="24"/>
        </w:rPr>
        <w:t>,</w:t>
      </w:r>
      <w:r w:rsidR="00BF20E0" w:rsidRPr="00FC0285">
        <w:rPr>
          <w:szCs w:val="24"/>
        </w:rPr>
        <w:t xml:space="preserve"> and religion. Social factors have a significant influence </w:t>
      </w:r>
      <w:r w:rsidR="00A24FA0" w:rsidRPr="00FC0285">
        <w:rPr>
          <w:szCs w:val="24"/>
        </w:rPr>
        <w:t>o</w:t>
      </w:r>
      <w:r w:rsidR="00A24FA0">
        <w:rPr>
          <w:szCs w:val="24"/>
        </w:rPr>
        <w:t>n</w:t>
      </w:r>
      <w:r w:rsidR="00A24FA0" w:rsidRPr="00FC0285">
        <w:rPr>
          <w:szCs w:val="24"/>
        </w:rPr>
        <w:t xml:space="preserve"> business</w:t>
      </w:r>
      <w:r w:rsidR="0030405A" w:rsidRPr="00FC0285">
        <w:rPr>
          <w:szCs w:val="24"/>
        </w:rPr>
        <w:t xml:space="preserve"> success and</w:t>
      </w:r>
      <w:r w:rsidR="00FB1B75">
        <w:rPr>
          <w:szCs w:val="24"/>
        </w:rPr>
        <w:t>,</w:t>
      </w:r>
      <w:r w:rsidR="0030405A" w:rsidRPr="00FC0285">
        <w:rPr>
          <w:szCs w:val="24"/>
        </w:rPr>
        <w:t xml:space="preserve"> to a large extent</w:t>
      </w:r>
      <w:r w:rsidR="00FB1B75">
        <w:rPr>
          <w:szCs w:val="24"/>
        </w:rPr>
        <w:t>,</w:t>
      </w:r>
      <w:r w:rsidR="0030405A" w:rsidRPr="00FC0285">
        <w:rPr>
          <w:szCs w:val="24"/>
        </w:rPr>
        <w:t xml:space="preserve"> economic growth. </w:t>
      </w:r>
      <w:r w:rsidR="0084045D" w:rsidRPr="00FC0285">
        <w:rPr>
          <w:szCs w:val="24"/>
        </w:rPr>
        <w:t>China has the largest population in the world</w:t>
      </w:r>
      <w:r w:rsidR="00FB1B75">
        <w:rPr>
          <w:szCs w:val="24"/>
        </w:rPr>
        <w:t>,</w:t>
      </w:r>
      <w:r w:rsidR="0084045D" w:rsidRPr="00FC0285">
        <w:rPr>
          <w:szCs w:val="24"/>
        </w:rPr>
        <w:t xml:space="preserve"> with an average age of </w:t>
      </w:r>
      <w:r w:rsidR="00015BE6" w:rsidRPr="00FC0285">
        <w:rPr>
          <w:szCs w:val="24"/>
        </w:rPr>
        <w:t xml:space="preserve">37 years. The average age has continued to increase from 20 years since </w:t>
      </w:r>
      <w:r w:rsidR="00FB1B75">
        <w:rPr>
          <w:szCs w:val="24"/>
        </w:rPr>
        <w:t xml:space="preserve">the </w:t>
      </w:r>
      <w:r w:rsidR="00015BE6" w:rsidRPr="00FC0285">
        <w:rPr>
          <w:szCs w:val="24"/>
        </w:rPr>
        <w:t>second half of the 20</w:t>
      </w:r>
      <w:r w:rsidR="00015BE6" w:rsidRPr="00FC0285">
        <w:rPr>
          <w:szCs w:val="24"/>
          <w:vertAlign w:val="superscript"/>
        </w:rPr>
        <w:t>th</w:t>
      </w:r>
      <w:r w:rsidR="00015BE6" w:rsidRPr="00FC0285">
        <w:rPr>
          <w:szCs w:val="24"/>
        </w:rPr>
        <w:t xml:space="preserve"> century. </w:t>
      </w:r>
      <w:r w:rsidR="000E3D7B" w:rsidRPr="00FC0285">
        <w:rPr>
          <w:szCs w:val="24"/>
        </w:rPr>
        <w:t>China has high literacy levels</w:t>
      </w:r>
      <w:r w:rsidR="00FB1B75">
        <w:rPr>
          <w:szCs w:val="24"/>
        </w:rPr>
        <w:t>,</w:t>
      </w:r>
      <w:r w:rsidR="000E3D7B" w:rsidRPr="00FC0285">
        <w:rPr>
          <w:szCs w:val="24"/>
        </w:rPr>
        <w:t xml:space="preserve"> with many of its adult citizens having undergone the education system. The literacy levels have increased over the years due to the country</w:t>
      </w:r>
      <w:r w:rsidR="00FC0285">
        <w:rPr>
          <w:szCs w:val="24"/>
        </w:rPr>
        <w:t>'</w:t>
      </w:r>
      <w:r w:rsidR="000E3D7B" w:rsidRPr="00FC0285">
        <w:rPr>
          <w:szCs w:val="24"/>
        </w:rPr>
        <w:t xml:space="preserve">s focus and investment in education. </w:t>
      </w:r>
      <w:r w:rsidR="006C22EE" w:rsidRPr="00FC0285">
        <w:rPr>
          <w:szCs w:val="24"/>
        </w:rPr>
        <w:t>The country enjoys a great diversity of religious beliefs and values</w:t>
      </w:r>
      <w:r w:rsidR="00FB1B75">
        <w:rPr>
          <w:szCs w:val="24"/>
        </w:rPr>
        <w:t>,</w:t>
      </w:r>
      <w:r w:rsidR="006C22EE" w:rsidRPr="00FC0285">
        <w:rPr>
          <w:szCs w:val="24"/>
        </w:rPr>
        <w:t xml:space="preserve"> with the state recognizing five main religions. This include</w:t>
      </w:r>
      <w:r w:rsidR="00FB1B75">
        <w:rPr>
          <w:szCs w:val="24"/>
        </w:rPr>
        <w:t>s</w:t>
      </w:r>
      <w:r w:rsidR="006C22EE" w:rsidRPr="00FC0285">
        <w:rPr>
          <w:szCs w:val="24"/>
        </w:rPr>
        <w:t xml:space="preserve">; Buddhism, Catholicism, Islam, </w:t>
      </w:r>
      <w:r w:rsidR="00A24FA0" w:rsidRPr="00FC0285">
        <w:rPr>
          <w:szCs w:val="24"/>
        </w:rPr>
        <w:t>Taoism</w:t>
      </w:r>
      <w:r w:rsidR="00A24FA0">
        <w:rPr>
          <w:szCs w:val="24"/>
        </w:rPr>
        <w:t>,</w:t>
      </w:r>
      <w:r w:rsidR="00A24FA0" w:rsidRPr="00FC0285">
        <w:rPr>
          <w:szCs w:val="24"/>
        </w:rPr>
        <w:t xml:space="preserve"> </w:t>
      </w:r>
      <w:r w:rsidR="00A24FA0" w:rsidRPr="00FC0285">
        <w:rPr>
          <w:szCs w:val="24"/>
        </w:rPr>
        <w:lastRenderedPageBreak/>
        <w:t>and</w:t>
      </w:r>
      <w:r w:rsidR="006C22EE" w:rsidRPr="00FC0285">
        <w:rPr>
          <w:szCs w:val="24"/>
        </w:rPr>
        <w:t xml:space="preserve"> Protestantism. </w:t>
      </w:r>
      <w:r w:rsidR="009432A1" w:rsidRPr="00FC0285">
        <w:rPr>
          <w:szCs w:val="24"/>
        </w:rPr>
        <w:t>Chinese citizens are free to express their religious affiliation and beliefs</w:t>
      </w:r>
      <w:r w:rsidR="008F01F7" w:rsidRPr="00FC0285">
        <w:rPr>
          <w:szCs w:val="24"/>
        </w:rPr>
        <w:t xml:space="preserve"> (</w:t>
      </w:r>
      <w:r w:rsidR="008F01F7" w:rsidRPr="00FC0285">
        <w:rPr>
          <w:color w:val="222222"/>
          <w:szCs w:val="24"/>
          <w:shd w:val="clear" w:color="auto" w:fill="FFFFFF"/>
        </w:rPr>
        <w:t>Zhu,2020)</w:t>
      </w:r>
      <w:r w:rsidR="009432A1" w:rsidRPr="00FC0285">
        <w:rPr>
          <w:szCs w:val="24"/>
        </w:rPr>
        <w:t xml:space="preserve">. The practice of other faiths </w:t>
      </w:r>
      <w:r w:rsidR="00FB1B75">
        <w:rPr>
          <w:szCs w:val="24"/>
        </w:rPr>
        <w:t>is,</w:t>
      </w:r>
      <w:r w:rsidR="009432A1" w:rsidRPr="00FC0285">
        <w:rPr>
          <w:szCs w:val="24"/>
        </w:rPr>
        <w:t xml:space="preserve"> however</w:t>
      </w:r>
      <w:r w:rsidR="00FB1B75">
        <w:rPr>
          <w:szCs w:val="24"/>
        </w:rPr>
        <w:t>,</w:t>
      </w:r>
      <w:r w:rsidR="009432A1" w:rsidRPr="00FC0285">
        <w:rPr>
          <w:szCs w:val="24"/>
        </w:rPr>
        <w:t xml:space="preserve"> prohibited. </w:t>
      </w:r>
      <w:r w:rsidR="00FB1B75">
        <w:rPr>
          <w:szCs w:val="24"/>
        </w:rPr>
        <w:t>S</w:t>
      </w:r>
      <w:r w:rsidR="000C5106" w:rsidRPr="00FC0285">
        <w:rPr>
          <w:szCs w:val="24"/>
        </w:rPr>
        <w:t xml:space="preserve">ocial welfare for the people of </w:t>
      </w:r>
      <w:r w:rsidR="00FB1B75">
        <w:rPr>
          <w:szCs w:val="24"/>
        </w:rPr>
        <w:t>C</w:t>
      </w:r>
      <w:r w:rsidR="000C5106" w:rsidRPr="00FC0285">
        <w:rPr>
          <w:szCs w:val="24"/>
        </w:rPr>
        <w:t>hina has undergone significant changes over decades. China</w:t>
      </w:r>
      <w:r w:rsidR="00FC0285">
        <w:rPr>
          <w:szCs w:val="24"/>
        </w:rPr>
        <w:t>'</w:t>
      </w:r>
      <w:r w:rsidR="000C5106" w:rsidRPr="00FC0285">
        <w:rPr>
          <w:szCs w:val="24"/>
        </w:rPr>
        <w:t xml:space="preserve">s </w:t>
      </w:r>
      <w:r w:rsidR="00FB1B75">
        <w:rPr>
          <w:szCs w:val="24"/>
        </w:rPr>
        <w:t>M</w:t>
      </w:r>
      <w:r w:rsidR="000C5106" w:rsidRPr="00FC0285">
        <w:rPr>
          <w:szCs w:val="24"/>
        </w:rPr>
        <w:t>inistry of Human Resources and Social Security is responsible for the provision of social benefits. These benefits include pension insurance, medical insurance, unemployment insurance</w:t>
      </w:r>
      <w:r w:rsidR="00FB1B75">
        <w:rPr>
          <w:szCs w:val="24"/>
        </w:rPr>
        <w:t>,</w:t>
      </w:r>
      <w:r w:rsidR="000C5106" w:rsidRPr="00FC0285">
        <w:rPr>
          <w:szCs w:val="24"/>
        </w:rPr>
        <w:t xml:space="preserve"> and workplace insurance. </w:t>
      </w:r>
    </w:p>
    <w:p w:rsidR="00043C35" w:rsidRPr="00FC0285" w:rsidRDefault="006412ED" w:rsidP="00E57D49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t>Macroeconomic Variables</w:t>
      </w:r>
    </w:p>
    <w:p w:rsidR="00E875F3" w:rsidRPr="00FC0285" w:rsidRDefault="00E875F3" w:rsidP="006B4E2F">
      <w:pPr>
        <w:spacing w:after="0" w:line="480" w:lineRule="auto"/>
        <w:rPr>
          <w:szCs w:val="24"/>
        </w:rPr>
      </w:pPr>
      <w:r w:rsidRPr="00FC0285">
        <w:rPr>
          <w:b/>
          <w:bCs/>
          <w:szCs w:val="24"/>
        </w:rPr>
        <w:tab/>
      </w:r>
      <w:r w:rsidRPr="00FC0285">
        <w:rPr>
          <w:szCs w:val="24"/>
        </w:rPr>
        <w:t xml:space="preserve">Economic indicators are </w:t>
      </w:r>
      <w:r w:rsidR="00765B0D" w:rsidRPr="00FC0285">
        <w:rPr>
          <w:szCs w:val="24"/>
        </w:rPr>
        <w:t xml:space="preserve">data or statistics about an economic activity. </w:t>
      </w:r>
      <w:r w:rsidR="00A558AE" w:rsidRPr="00FC0285">
        <w:rPr>
          <w:szCs w:val="24"/>
        </w:rPr>
        <w:t xml:space="preserve">Economic indicators are used to analyze the economic performance of a country to make predictions about future performance. </w:t>
      </w:r>
      <w:r w:rsidR="00471F4C" w:rsidRPr="00FC0285">
        <w:rPr>
          <w:szCs w:val="24"/>
        </w:rPr>
        <w:t xml:space="preserve">Economic indicators are crucial in interpreting investment opportunities. </w:t>
      </w:r>
    </w:p>
    <w:p w:rsidR="00C83C33" w:rsidRPr="00FC0285" w:rsidRDefault="00C83C33" w:rsidP="000C4E81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Type of economy</w:t>
      </w:r>
    </w:p>
    <w:p w:rsidR="00C83C33" w:rsidRDefault="00C83C33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  <w:t xml:space="preserve">Since the 1979 </w:t>
      </w:r>
      <w:r w:rsidR="00D71D76" w:rsidRPr="00FC0285">
        <w:rPr>
          <w:szCs w:val="24"/>
        </w:rPr>
        <w:t xml:space="preserve">trade liberalization and economic reforms, China has been known to be a socialist </w:t>
      </w:r>
      <w:r w:rsidR="002A4822" w:rsidRPr="00FC0285">
        <w:rPr>
          <w:szCs w:val="24"/>
        </w:rPr>
        <w:t>market-oriented</w:t>
      </w:r>
      <w:r w:rsidR="00D71D76" w:rsidRPr="00FC0285">
        <w:rPr>
          <w:szCs w:val="24"/>
        </w:rPr>
        <w:t xml:space="preserve"> economy</w:t>
      </w:r>
      <w:r w:rsidR="00334745" w:rsidRPr="00FC0285">
        <w:rPr>
          <w:szCs w:val="24"/>
        </w:rPr>
        <w:t xml:space="preserve">. Under the socialist market economy, the government is directly involved in controlling the economy through </w:t>
      </w:r>
      <w:r w:rsidR="00D71D76" w:rsidRPr="00FC0285">
        <w:rPr>
          <w:szCs w:val="24"/>
        </w:rPr>
        <w:t>economic planning</w:t>
      </w:r>
      <w:r w:rsidR="00334745" w:rsidRPr="00FC0285">
        <w:rPr>
          <w:szCs w:val="24"/>
        </w:rPr>
        <w:t xml:space="preserve">, </w:t>
      </w:r>
      <w:r w:rsidR="00D71D76" w:rsidRPr="00FC0285">
        <w:rPr>
          <w:szCs w:val="24"/>
        </w:rPr>
        <w:t>industrial policies</w:t>
      </w:r>
      <w:r w:rsidR="00A51FDF">
        <w:rPr>
          <w:szCs w:val="24"/>
        </w:rPr>
        <w:t>,</w:t>
      </w:r>
      <w:r w:rsidR="00D71D76" w:rsidRPr="00FC0285">
        <w:rPr>
          <w:szCs w:val="24"/>
        </w:rPr>
        <w:t xml:space="preserve"> and strategic plans.</w:t>
      </w:r>
      <w:r w:rsidR="00334745" w:rsidRPr="00FC0285">
        <w:rPr>
          <w:szCs w:val="24"/>
        </w:rPr>
        <w:t xml:space="preserve"> These plans ha</w:t>
      </w:r>
      <w:r w:rsidR="00A51FDF">
        <w:rPr>
          <w:szCs w:val="24"/>
        </w:rPr>
        <w:t>ve</w:t>
      </w:r>
      <w:r w:rsidR="00334745" w:rsidRPr="00FC0285">
        <w:rPr>
          <w:szCs w:val="24"/>
        </w:rPr>
        <w:t xml:space="preserve"> fostered China</w:t>
      </w:r>
      <w:r w:rsidR="00FC0285">
        <w:rPr>
          <w:szCs w:val="24"/>
        </w:rPr>
        <w:t>'</w:t>
      </w:r>
      <w:r w:rsidR="00334745" w:rsidRPr="00FC0285">
        <w:rPr>
          <w:szCs w:val="24"/>
        </w:rPr>
        <w:t xml:space="preserve">s economic growth </w:t>
      </w:r>
      <w:r w:rsidR="00E3606F" w:rsidRPr="00FC0285">
        <w:rPr>
          <w:szCs w:val="24"/>
        </w:rPr>
        <w:t xml:space="preserve">through its focus on promoting growth, improved environmental protection, </w:t>
      </w:r>
      <w:r w:rsidR="00A24FA0" w:rsidRPr="00FC0285">
        <w:rPr>
          <w:szCs w:val="24"/>
        </w:rPr>
        <w:t>and better</w:t>
      </w:r>
      <w:r w:rsidR="00E3606F" w:rsidRPr="00FC0285">
        <w:rPr>
          <w:szCs w:val="24"/>
        </w:rPr>
        <w:t xml:space="preserve"> wealth distribution, </w:t>
      </w:r>
      <w:r w:rsidR="00BF60FA" w:rsidRPr="00FC0285">
        <w:rPr>
          <w:szCs w:val="24"/>
        </w:rPr>
        <w:t>advancing manufacturing, increasing domestic demand</w:t>
      </w:r>
      <w:r w:rsidR="00A51FDF">
        <w:rPr>
          <w:szCs w:val="24"/>
        </w:rPr>
        <w:t>,</w:t>
      </w:r>
      <w:r w:rsidR="00BF60FA" w:rsidRPr="00FC0285">
        <w:rPr>
          <w:szCs w:val="24"/>
        </w:rPr>
        <w:t xml:space="preserve"> and enhancing China</w:t>
      </w:r>
      <w:r w:rsidR="00FC0285">
        <w:rPr>
          <w:szCs w:val="24"/>
        </w:rPr>
        <w:t>'</w:t>
      </w:r>
      <w:r w:rsidR="00BF60FA" w:rsidRPr="00FC0285">
        <w:rPr>
          <w:szCs w:val="24"/>
        </w:rPr>
        <w:t xml:space="preserve">s </w:t>
      </w:r>
      <w:r w:rsidR="00A24FA0" w:rsidRPr="00FC0285">
        <w:rPr>
          <w:szCs w:val="24"/>
        </w:rPr>
        <w:t>competitiveness. The</w:t>
      </w:r>
      <w:r w:rsidR="002A4822" w:rsidRPr="00FC0285">
        <w:rPr>
          <w:szCs w:val="24"/>
        </w:rPr>
        <w:t xml:space="preserve"> economy is </w:t>
      </w:r>
      <w:r w:rsidR="001D70BE" w:rsidRPr="00FC0285">
        <w:rPr>
          <w:szCs w:val="24"/>
        </w:rPr>
        <w:t>dominated by state</w:t>
      </w:r>
      <w:r w:rsidR="00AE330F" w:rsidRPr="00FC0285">
        <w:rPr>
          <w:szCs w:val="24"/>
        </w:rPr>
        <w:t>-</w:t>
      </w:r>
      <w:r w:rsidR="001D70BE" w:rsidRPr="00FC0285">
        <w:rPr>
          <w:szCs w:val="24"/>
        </w:rPr>
        <w:t>owned enterprises</w:t>
      </w:r>
      <w:r w:rsidR="00AE330F" w:rsidRPr="00FC0285">
        <w:rPr>
          <w:szCs w:val="24"/>
        </w:rPr>
        <w:t xml:space="preserve"> in parallel with private ownership and market capitalism</w:t>
      </w:r>
      <w:r w:rsidR="00A51FDF">
        <w:rPr>
          <w:szCs w:val="24"/>
        </w:rPr>
        <w:t>,</w:t>
      </w:r>
      <w:r w:rsidR="001D70BE" w:rsidRPr="00FC0285">
        <w:rPr>
          <w:szCs w:val="24"/>
        </w:rPr>
        <w:t xml:space="preserve"> with political leaders retaining power over the economic system. </w:t>
      </w:r>
      <w:r w:rsidR="001A7628" w:rsidRPr="00FC0285">
        <w:rPr>
          <w:szCs w:val="24"/>
        </w:rPr>
        <w:t>In 2019, state-owned enterprises accounted for more tha</w:t>
      </w:r>
      <w:r w:rsidR="00A51FDF">
        <w:rPr>
          <w:szCs w:val="24"/>
        </w:rPr>
        <w:t>n</w:t>
      </w:r>
      <w:r w:rsidR="001A7628" w:rsidRPr="00FC0285">
        <w:rPr>
          <w:szCs w:val="24"/>
        </w:rPr>
        <w:t xml:space="preserve"> 60% of the country</w:t>
      </w:r>
      <w:r w:rsidR="00FC0285">
        <w:rPr>
          <w:szCs w:val="24"/>
        </w:rPr>
        <w:t>'</w:t>
      </w:r>
      <w:r w:rsidR="001A7628" w:rsidRPr="00FC0285">
        <w:rPr>
          <w:szCs w:val="24"/>
        </w:rPr>
        <w:t>s market capitalization while generating 40% of its GDP</w:t>
      </w:r>
      <w:r w:rsidR="001C4F7B" w:rsidRPr="00FC0285">
        <w:rPr>
          <w:szCs w:val="24"/>
        </w:rPr>
        <w:t xml:space="preserve"> in 2020. </w:t>
      </w:r>
      <w:r w:rsidR="00A51FDF">
        <w:rPr>
          <w:szCs w:val="24"/>
        </w:rPr>
        <w:t>The p</w:t>
      </w:r>
      <w:r w:rsidR="00AE234A" w:rsidRPr="00FC0285">
        <w:rPr>
          <w:szCs w:val="24"/>
        </w:rPr>
        <w:t>rivate</w:t>
      </w:r>
      <w:r w:rsidR="00A51FDF">
        <w:rPr>
          <w:szCs w:val="24"/>
        </w:rPr>
        <w:t>ly-</w:t>
      </w:r>
      <w:r w:rsidR="00AE234A" w:rsidRPr="00FC0285">
        <w:rPr>
          <w:szCs w:val="24"/>
        </w:rPr>
        <w:t xml:space="preserve">owned business accounted for the remaining 60% of the GDP. </w:t>
      </w:r>
    </w:p>
    <w:p w:rsidR="00423E9A" w:rsidRDefault="00423E9A" w:rsidP="006B4E2F">
      <w:pPr>
        <w:spacing w:after="0" w:line="480" w:lineRule="auto"/>
        <w:rPr>
          <w:szCs w:val="24"/>
        </w:rPr>
      </w:pPr>
    </w:p>
    <w:p w:rsidR="00423E9A" w:rsidRPr="00FC0285" w:rsidRDefault="00423E9A" w:rsidP="006B4E2F">
      <w:pPr>
        <w:spacing w:after="0" w:line="480" w:lineRule="auto"/>
        <w:rPr>
          <w:szCs w:val="24"/>
        </w:rPr>
      </w:pPr>
    </w:p>
    <w:p w:rsidR="00545D82" w:rsidRPr="00FC0285" w:rsidRDefault="00545D82" w:rsidP="000C4E81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lastRenderedPageBreak/>
        <w:t xml:space="preserve">Gross </w:t>
      </w:r>
      <w:r w:rsidR="00A51FDF">
        <w:rPr>
          <w:b/>
          <w:bCs/>
          <w:szCs w:val="24"/>
        </w:rPr>
        <w:t>D</w:t>
      </w:r>
      <w:r w:rsidRPr="00FC0285">
        <w:rPr>
          <w:b/>
          <w:bCs/>
          <w:szCs w:val="24"/>
        </w:rPr>
        <w:t>omestic Product</w:t>
      </w:r>
    </w:p>
    <w:p w:rsidR="00545D82" w:rsidRPr="00FC0285" w:rsidRDefault="00545D82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  <w:t xml:space="preserve">Gross domestic product is </w:t>
      </w:r>
      <w:r w:rsidR="00666271" w:rsidRPr="00FC0285">
        <w:rPr>
          <w:szCs w:val="24"/>
        </w:rPr>
        <w:t xml:space="preserve">a measure of the national income and output of a country. </w:t>
      </w:r>
      <w:r w:rsidR="0056028B" w:rsidRPr="00FC0285">
        <w:rPr>
          <w:szCs w:val="24"/>
        </w:rPr>
        <w:t xml:space="preserve">It is the total expenditure of </w:t>
      </w:r>
      <w:r w:rsidR="00D52BFB" w:rsidRPr="00FC0285">
        <w:rPr>
          <w:szCs w:val="24"/>
        </w:rPr>
        <w:t xml:space="preserve">finished goods and services produced in a country in a specific period. </w:t>
      </w:r>
      <w:r w:rsidR="00D212C6" w:rsidRPr="00FC0285">
        <w:rPr>
          <w:szCs w:val="24"/>
        </w:rPr>
        <w:t>Prior to the trade liberalization and economic reform in 1979, China had policies that kept the economy centrally controlled, inefficient, stagnant</w:t>
      </w:r>
      <w:r w:rsidR="00A51FDF">
        <w:rPr>
          <w:szCs w:val="24"/>
        </w:rPr>
        <w:t>,</w:t>
      </w:r>
      <w:r w:rsidR="00D212C6" w:rsidRPr="00FC0285">
        <w:rPr>
          <w:szCs w:val="24"/>
        </w:rPr>
        <w:t xml:space="preserve"> and isolated from the global platform</w:t>
      </w:r>
      <w:r w:rsidR="001F4B88" w:rsidRPr="00FC0285">
        <w:rPr>
          <w:szCs w:val="24"/>
        </w:rPr>
        <w:t xml:space="preserve"> (</w:t>
      </w:r>
      <w:r w:rsidR="001F4B88" w:rsidRPr="00FC0285">
        <w:rPr>
          <w:color w:val="222222"/>
          <w:szCs w:val="24"/>
          <w:shd w:val="clear" w:color="auto" w:fill="FFFFFF"/>
        </w:rPr>
        <w:t>Warner,2019)</w:t>
      </w:r>
      <w:r w:rsidR="00D212C6" w:rsidRPr="00FC0285">
        <w:rPr>
          <w:szCs w:val="24"/>
        </w:rPr>
        <w:t xml:space="preserve">. However, economic reforms opened the country to </w:t>
      </w:r>
      <w:r w:rsidR="004149F1" w:rsidRPr="00FC0285">
        <w:rPr>
          <w:szCs w:val="24"/>
        </w:rPr>
        <w:t>foreign trade and investment. This has seen China</w:t>
      </w:r>
      <w:r w:rsidR="00FC0285">
        <w:rPr>
          <w:szCs w:val="24"/>
        </w:rPr>
        <w:t>'</w:t>
      </w:r>
      <w:r w:rsidR="004149F1" w:rsidRPr="00FC0285">
        <w:rPr>
          <w:szCs w:val="24"/>
        </w:rPr>
        <w:t xml:space="preserve">s economy grow exponentially over the past 4 decades. </w:t>
      </w:r>
      <w:r w:rsidR="00777B61" w:rsidRPr="00FC0285">
        <w:rPr>
          <w:szCs w:val="24"/>
        </w:rPr>
        <w:t>Official data from the World Bank report China</w:t>
      </w:r>
      <w:r w:rsidR="00FC0285">
        <w:rPr>
          <w:szCs w:val="24"/>
        </w:rPr>
        <w:t>'</w:t>
      </w:r>
      <w:r w:rsidR="00777B61" w:rsidRPr="00FC0285">
        <w:rPr>
          <w:szCs w:val="24"/>
        </w:rPr>
        <w:t xml:space="preserve">s gross domestic product was $14.34 trillion in 2019. </w:t>
      </w:r>
      <w:r w:rsidR="000855B2" w:rsidRPr="00FC0285">
        <w:rPr>
          <w:szCs w:val="24"/>
        </w:rPr>
        <w:t>This places China among the fastest</w:t>
      </w:r>
      <w:r w:rsidR="00A51FDF">
        <w:rPr>
          <w:szCs w:val="24"/>
        </w:rPr>
        <w:t>-</w:t>
      </w:r>
      <w:r w:rsidR="000855B2" w:rsidRPr="00FC0285">
        <w:rPr>
          <w:szCs w:val="24"/>
        </w:rPr>
        <w:t xml:space="preserve">growing economies </w:t>
      </w:r>
      <w:r w:rsidR="006E2919" w:rsidRPr="00FC0285">
        <w:rPr>
          <w:szCs w:val="24"/>
        </w:rPr>
        <w:t>highlighting the health of the country</w:t>
      </w:r>
      <w:r w:rsidR="00FC0285">
        <w:rPr>
          <w:szCs w:val="24"/>
        </w:rPr>
        <w:t>'</w:t>
      </w:r>
      <w:r w:rsidR="006E2919" w:rsidRPr="00FC0285">
        <w:rPr>
          <w:szCs w:val="24"/>
        </w:rPr>
        <w:t xml:space="preserve">s economy. </w:t>
      </w:r>
    </w:p>
    <w:p w:rsidR="00C1598B" w:rsidRPr="00FC0285" w:rsidRDefault="00C1598B" w:rsidP="000C4E81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Unemployment Rates</w:t>
      </w:r>
    </w:p>
    <w:p w:rsidR="00C1598B" w:rsidRPr="00FC0285" w:rsidRDefault="00C1598B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585C1B" w:rsidRPr="00FC0285">
        <w:rPr>
          <w:szCs w:val="24"/>
        </w:rPr>
        <w:t xml:space="preserve">According to the World Health Organization, unemployment rates in China stood </w:t>
      </w:r>
      <w:r w:rsidR="002C397D" w:rsidRPr="00FC0285">
        <w:rPr>
          <w:szCs w:val="24"/>
        </w:rPr>
        <w:t xml:space="preserve">as </w:t>
      </w:r>
      <w:r w:rsidR="00A51FDF">
        <w:rPr>
          <w:szCs w:val="24"/>
        </w:rPr>
        <w:t>of</w:t>
      </w:r>
      <w:r w:rsidR="002C397D" w:rsidRPr="00FC0285">
        <w:rPr>
          <w:szCs w:val="24"/>
        </w:rPr>
        <w:t xml:space="preserve"> April 2021 stands at 3.6</w:t>
      </w:r>
      <w:r w:rsidR="00585C1B" w:rsidRPr="00FC0285">
        <w:rPr>
          <w:szCs w:val="24"/>
        </w:rPr>
        <w:t>%</w:t>
      </w:r>
      <w:r w:rsidR="00D14791" w:rsidRPr="00FC0285">
        <w:rPr>
          <w:szCs w:val="24"/>
        </w:rPr>
        <w:t>. These rates</w:t>
      </w:r>
      <w:r w:rsidR="00A51FDF">
        <w:rPr>
          <w:szCs w:val="24"/>
        </w:rPr>
        <w:t>,</w:t>
      </w:r>
      <w:r w:rsidR="00D14791" w:rsidRPr="00FC0285">
        <w:rPr>
          <w:szCs w:val="24"/>
        </w:rPr>
        <w:t xml:space="preserve"> however</w:t>
      </w:r>
      <w:r w:rsidR="00A51FDF">
        <w:rPr>
          <w:szCs w:val="24"/>
        </w:rPr>
        <w:t>,</w:t>
      </w:r>
      <w:r w:rsidR="00D14791" w:rsidRPr="00FC0285">
        <w:rPr>
          <w:szCs w:val="24"/>
        </w:rPr>
        <w:t xml:space="preserve"> increased due to the covid-19 </w:t>
      </w:r>
      <w:r w:rsidR="00A24FA0" w:rsidRPr="00FC0285">
        <w:rPr>
          <w:szCs w:val="24"/>
        </w:rPr>
        <w:t>pandemic</w:t>
      </w:r>
      <w:r w:rsidR="00A24FA0">
        <w:rPr>
          <w:szCs w:val="24"/>
        </w:rPr>
        <w:t>,</w:t>
      </w:r>
      <w:r w:rsidR="00A24FA0" w:rsidRPr="00FC0285">
        <w:rPr>
          <w:szCs w:val="24"/>
        </w:rPr>
        <w:t xml:space="preserve"> which</w:t>
      </w:r>
      <w:r w:rsidR="002A3FBF" w:rsidRPr="00FC0285">
        <w:rPr>
          <w:szCs w:val="24"/>
        </w:rPr>
        <w:t xml:space="preserve"> ha</w:t>
      </w:r>
      <w:r w:rsidR="00A51FDF">
        <w:rPr>
          <w:szCs w:val="24"/>
        </w:rPr>
        <w:t>s</w:t>
      </w:r>
      <w:r w:rsidR="002A3FBF" w:rsidRPr="00FC0285">
        <w:rPr>
          <w:szCs w:val="24"/>
        </w:rPr>
        <w:t xml:space="preserve"> a massive impact on the economy and caused a retrenchment of many workers. </w:t>
      </w:r>
      <w:r w:rsidR="00EC1D6A" w:rsidRPr="00FC0285">
        <w:rPr>
          <w:szCs w:val="24"/>
        </w:rPr>
        <w:t xml:space="preserve">The main contributor </w:t>
      </w:r>
      <w:r w:rsidR="00A51FDF">
        <w:rPr>
          <w:szCs w:val="24"/>
        </w:rPr>
        <w:t>to</w:t>
      </w:r>
      <w:r w:rsidR="00EC1D6A" w:rsidRPr="00FC0285">
        <w:rPr>
          <w:szCs w:val="24"/>
        </w:rPr>
        <w:t xml:space="preserve"> China</w:t>
      </w:r>
      <w:r w:rsidR="00FC0285">
        <w:rPr>
          <w:szCs w:val="24"/>
        </w:rPr>
        <w:t>'</w:t>
      </w:r>
      <w:r w:rsidR="00EC1D6A" w:rsidRPr="00FC0285">
        <w:rPr>
          <w:szCs w:val="24"/>
        </w:rPr>
        <w:t xml:space="preserve">s unemployment rate problems is the high population, negative policies that </w:t>
      </w:r>
      <w:r w:rsidR="00044804" w:rsidRPr="00FC0285">
        <w:rPr>
          <w:szCs w:val="24"/>
        </w:rPr>
        <w:t>are designed in a way that maintains high employment in particularly in the planned econom</w:t>
      </w:r>
      <w:r w:rsidR="00A51FDF">
        <w:rPr>
          <w:szCs w:val="24"/>
        </w:rPr>
        <w:t>y</w:t>
      </w:r>
      <w:r w:rsidR="00044804" w:rsidRPr="00FC0285">
        <w:rPr>
          <w:szCs w:val="24"/>
        </w:rPr>
        <w:t xml:space="preserve"> era</w:t>
      </w:r>
      <w:r w:rsidR="00423E9A">
        <w:rPr>
          <w:szCs w:val="24"/>
        </w:rPr>
        <w:t>,</w:t>
      </w:r>
      <w:r w:rsidR="00044804" w:rsidRPr="00FC0285">
        <w:rPr>
          <w:szCs w:val="24"/>
        </w:rPr>
        <w:t xml:space="preserve"> and unavailability of major absorbers of labor. </w:t>
      </w:r>
      <w:r w:rsidR="00625293" w:rsidRPr="00FC0285">
        <w:rPr>
          <w:szCs w:val="24"/>
        </w:rPr>
        <w:t>China has the largest population in the world</w:t>
      </w:r>
      <w:r w:rsidR="00423E9A">
        <w:rPr>
          <w:szCs w:val="24"/>
        </w:rPr>
        <w:t>,</w:t>
      </w:r>
      <w:r w:rsidR="00625293" w:rsidRPr="00FC0285">
        <w:rPr>
          <w:szCs w:val="24"/>
        </w:rPr>
        <w:t xml:space="preserve"> which increases the supply of </w:t>
      </w:r>
      <w:r w:rsidR="00A24FA0" w:rsidRPr="00FC0285">
        <w:rPr>
          <w:szCs w:val="24"/>
        </w:rPr>
        <w:t>labor</w:t>
      </w:r>
      <w:r w:rsidR="00A24FA0">
        <w:rPr>
          <w:szCs w:val="24"/>
        </w:rPr>
        <w:t>,</w:t>
      </w:r>
      <w:r w:rsidR="00A24FA0" w:rsidRPr="00FC0285">
        <w:rPr>
          <w:szCs w:val="24"/>
        </w:rPr>
        <w:t xml:space="preserve"> and</w:t>
      </w:r>
      <w:r w:rsidR="00FC2781" w:rsidRPr="00FC0285">
        <w:rPr>
          <w:szCs w:val="24"/>
        </w:rPr>
        <w:t xml:space="preserve"> with the unavailability of major labor absorbers, the unemployment rates are bound to be high. </w:t>
      </w:r>
    </w:p>
    <w:p w:rsidR="002C397D" w:rsidRPr="00FC0285" w:rsidRDefault="002C397D" w:rsidP="006B4E2F">
      <w:pPr>
        <w:spacing w:after="0" w:line="480" w:lineRule="auto"/>
        <w:rPr>
          <w:szCs w:val="24"/>
        </w:rPr>
      </w:pPr>
      <w:r w:rsidRPr="00FC0285">
        <w:rPr>
          <w:noProof/>
          <w:szCs w:val="24"/>
        </w:rPr>
        <w:lastRenderedPageBreak/>
        <w:drawing>
          <wp:inline distT="0" distB="0" distL="0" distR="0">
            <wp:extent cx="5943600" cy="5626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2D" w:rsidRPr="00FC0285" w:rsidRDefault="00065333" w:rsidP="000C4E81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Consumer Price Index</w:t>
      </w:r>
    </w:p>
    <w:p w:rsidR="006342A1" w:rsidRPr="00FC0285" w:rsidRDefault="00065333" w:rsidP="00E57D49">
      <w:pPr>
        <w:spacing w:after="0" w:line="480" w:lineRule="auto"/>
        <w:ind w:firstLine="720"/>
        <w:rPr>
          <w:szCs w:val="24"/>
        </w:rPr>
      </w:pPr>
      <w:r w:rsidRPr="00FC0285">
        <w:rPr>
          <w:szCs w:val="24"/>
        </w:rPr>
        <w:t xml:space="preserve">Consumer Price Index (CPI) measures the price changes for </w:t>
      </w:r>
      <w:r w:rsidR="00D053D2" w:rsidRPr="00FC0285">
        <w:rPr>
          <w:szCs w:val="24"/>
        </w:rPr>
        <w:t xml:space="preserve">consumer used products and services. </w:t>
      </w:r>
      <w:r w:rsidR="00A73E3C" w:rsidRPr="00FC0285">
        <w:rPr>
          <w:szCs w:val="24"/>
        </w:rPr>
        <w:t>These changes affect consumer</w:t>
      </w:r>
      <w:r w:rsidR="00FC0285">
        <w:rPr>
          <w:szCs w:val="24"/>
        </w:rPr>
        <w:t>'</w:t>
      </w:r>
      <w:r w:rsidR="00A73E3C" w:rsidRPr="00FC0285">
        <w:rPr>
          <w:szCs w:val="24"/>
        </w:rPr>
        <w:t xml:space="preserve">s real purchasing power and welfare. </w:t>
      </w:r>
      <w:r w:rsidR="00707D1E" w:rsidRPr="00FC0285">
        <w:rPr>
          <w:szCs w:val="24"/>
        </w:rPr>
        <w:t>China’s consumer price index is 10</w:t>
      </w:r>
      <w:r w:rsidR="0075723C" w:rsidRPr="00FC0285">
        <w:rPr>
          <w:szCs w:val="24"/>
        </w:rPr>
        <w:t>0</w:t>
      </w:r>
      <w:r w:rsidR="00707D1E" w:rsidRPr="00FC0285">
        <w:rPr>
          <w:szCs w:val="24"/>
        </w:rPr>
        <w:t>.</w:t>
      </w:r>
      <w:r w:rsidR="0075723C" w:rsidRPr="00FC0285">
        <w:rPr>
          <w:szCs w:val="24"/>
        </w:rPr>
        <w:t>3</w:t>
      </w:r>
      <w:r w:rsidR="00707D1E" w:rsidRPr="00FC0285">
        <w:rPr>
          <w:szCs w:val="24"/>
        </w:rPr>
        <w:t>%</w:t>
      </w:r>
      <w:r w:rsidR="0075723C" w:rsidRPr="00FC0285">
        <w:rPr>
          <w:szCs w:val="24"/>
        </w:rPr>
        <w:t xml:space="preserve"> a drop from 103.7%</w:t>
      </w:r>
      <w:r w:rsidR="006B158C" w:rsidRPr="00FC0285">
        <w:rPr>
          <w:szCs w:val="24"/>
        </w:rPr>
        <w:t xml:space="preserve"> (UNCTAD, 2021)</w:t>
      </w:r>
      <w:r w:rsidR="0075723C" w:rsidRPr="00FC0285">
        <w:rPr>
          <w:szCs w:val="24"/>
        </w:rPr>
        <w:t xml:space="preserve">. </w:t>
      </w:r>
      <w:r w:rsidR="00423E9A">
        <w:rPr>
          <w:szCs w:val="24"/>
        </w:rPr>
        <w:t>It</w:t>
      </w:r>
      <w:r w:rsidR="00FC0764" w:rsidRPr="00FC0285">
        <w:rPr>
          <w:szCs w:val="24"/>
        </w:rPr>
        <w:t xml:space="preserve"> shows the changes in the price levels for goods and services purchased by both urban and rural residents. </w:t>
      </w:r>
      <w:r w:rsidR="00423E9A">
        <w:rPr>
          <w:szCs w:val="24"/>
        </w:rPr>
        <w:t>The c</w:t>
      </w:r>
      <w:r w:rsidR="00096CBD" w:rsidRPr="00FC0285">
        <w:rPr>
          <w:szCs w:val="24"/>
        </w:rPr>
        <w:t>onsumer price index is critical for consumers, businesses</w:t>
      </w:r>
      <w:r w:rsidR="00423E9A">
        <w:rPr>
          <w:szCs w:val="24"/>
        </w:rPr>
        <w:t>,</w:t>
      </w:r>
      <w:r w:rsidR="00096CBD" w:rsidRPr="00FC0285">
        <w:rPr>
          <w:szCs w:val="24"/>
        </w:rPr>
        <w:t xml:space="preserve"> and government </w:t>
      </w:r>
      <w:r w:rsidR="00D3769D" w:rsidRPr="00FC0285">
        <w:rPr>
          <w:szCs w:val="24"/>
        </w:rPr>
        <w:t>as it informs them of price changes in the economy</w:t>
      </w:r>
      <w:r w:rsidR="00423E9A">
        <w:rPr>
          <w:szCs w:val="24"/>
        </w:rPr>
        <w:t>,</w:t>
      </w:r>
      <w:r w:rsidR="00D3769D" w:rsidRPr="00FC0285">
        <w:rPr>
          <w:szCs w:val="24"/>
        </w:rPr>
        <w:t xml:space="preserve"> therefore, enhancing their ability to make informed decisions about the </w:t>
      </w:r>
      <w:r w:rsidR="00D3769D" w:rsidRPr="00FC0285">
        <w:rPr>
          <w:szCs w:val="24"/>
        </w:rPr>
        <w:lastRenderedPageBreak/>
        <w:t xml:space="preserve">economy. </w:t>
      </w:r>
      <w:r w:rsidR="00F62B62" w:rsidRPr="00FC0285">
        <w:rPr>
          <w:szCs w:val="24"/>
        </w:rPr>
        <w:t xml:space="preserve">The drop </w:t>
      </w:r>
      <w:r w:rsidR="00A24FA0">
        <w:rPr>
          <w:szCs w:val="24"/>
        </w:rPr>
        <w:t>in the</w:t>
      </w:r>
      <w:r w:rsidR="00423E9A">
        <w:rPr>
          <w:szCs w:val="24"/>
        </w:rPr>
        <w:t xml:space="preserve"> </w:t>
      </w:r>
      <w:r w:rsidR="00F62B62" w:rsidRPr="00FC0285">
        <w:rPr>
          <w:szCs w:val="24"/>
        </w:rPr>
        <w:t xml:space="preserve">consumer price index means that China is experiencing deflation </w:t>
      </w:r>
      <w:r w:rsidR="008E1460" w:rsidRPr="00FC0285">
        <w:rPr>
          <w:szCs w:val="24"/>
        </w:rPr>
        <w:t xml:space="preserve">or a decrease in the price of products and services. </w:t>
      </w:r>
    </w:p>
    <w:p w:rsidR="006342A1" w:rsidRPr="00FC0285" w:rsidRDefault="006342A1" w:rsidP="000C4E81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Balance of Payment</w:t>
      </w:r>
    </w:p>
    <w:p w:rsidR="006342A1" w:rsidRPr="00FC0285" w:rsidRDefault="006342A1" w:rsidP="006342A1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3B346B" w:rsidRPr="00FC0285">
        <w:rPr>
          <w:szCs w:val="24"/>
        </w:rPr>
        <w:t>Balance of payment refers to a country</w:t>
      </w:r>
      <w:r w:rsidR="00FC0285">
        <w:rPr>
          <w:szCs w:val="24"/>
        </w:rPr>
        <w:t>'</w:t>
      </w:r>
      <w:r w:rsidR="003B346B" w:rsidRPr="00FC0285">
        <w:rPr>
          <w:szCs w:val="24"/>
        </w:rPr>
        <w:t xml:space="preserve">s international earnings and expenditure. </w:t>
      </w:r>
      <w:r w:rsidR="007A134D" w:rsidRPr="00FC0285">
        <w:rPr>
          <w:szCs w:val="24"/>
        </w:rPr>
        <w:t>This is an economic tool who</w:t>
      </w:r>
      <w:r w:rsidR="00423E9A">
        <w:rPr>
          <w:szCs w:val="24"/>
        </w:rPr>
        <w:t>se</w:t>
      </w:r>
      <w:r w:rsidR="007A134D" w:rsidRPr="00FC0285">
        <w:rPr>
          <w:szCs w:val="24"/>
        </w:rPr>
        <w:t xml:space="preserve"> importan</w:t>
      </w:r>
      <w:r w:rsidR="00423E9A">
        <w:rPr>
          <w:szCs w:val="24"/>
        </w:rPr>
        <w:t>ce</w:t>
      </w:r>
      <w:r w:rsidR="007A134D" w:rsidRPr="00FC0285">
        <w:rPr>
          <w:szCs w:val="24"/>
        </w:rPr>
        <w:t xml:space="preserve"> has evolved and grown with the development of international economic relations. </w:t>
      </w:r>
      <w:r w:rsidR="009104B2" w:rsidRPr="00FC0285">
        <w:rPr>
          <w:szCs w:val="24"/>
        </w:rPr>
        <w:t>In the modern world, the economic and social development of a country cannot be sidelined from international cultural, economic</w:t>
      </w:r>
      <w:r w:rsidR="00423E9A">
        <w:rPr>
          <w:szCs w:val="24"/>
        </w:rPr>
        <w:t>,</w:t>
      </w:r>
      <w:r w:rsidR="009104B2" w:rsidRPr="00FC0285">
        <w:rPr>
          <w:szCs w:val="24"/>
        </w:rPr>
        <w:t xml:space="preserve"> and political relations. </w:t>
      </w:r>
      <w:r w:rsidR="00441F97" w:rsidRPr="00FC0285">
        <w:rPr>
          <w:szCs w:val="24"/>
        </w:rPr>
        <w:t xml:space="preserve">Balance of payment management is a major issue that faces all countries of the world and guides national economic </w:t>
      </w:r>
      <w:r w:rsidR="00A24FA0" w:rsidRPr="00FC0285">
        <w:rPr>
          <w:szCs w:val="24"/>
        </w:rPr>
        <w:t>development. Since</w:t>
      </w:r>
      <w:r w:rsidR="000217A4" w:rsidRPr="00FC0285">
        <w:rPr>
          <w:szCs w:val="24"/>
        </w:rPr>
        <w:t xml:space="preserve"> the 1979 trade liberalization and economic reforms, China</w:t>
      </w:r>
      <w:r w:rsidR="00FC0285">
        <w:rPr>
          <w:szCs w:val="24"/>
        </w:rPr>
        <w:t>'</w:t>
      </w:r>
      <w:r w:rsidR="000217A4" w:rsidRPr="00FC0285">
        <w:rPr>
          <w:szCs w:val="24"/>
        </w:rPr>
        <w:t>s balance of payments has significantly evolved</w:t>
      </w:r>
      <w:r w:rsidR="00423E9A">
        <w:rPr>
          <w:szCs w:val="24"/>
        </w:rPr>
        <w:t>,</w:t>
      </w:r>
      <w:r w:rsidR="000217A4" w:rsidRPr="00FC0285">
        <w:rPr>
          <w:szCs w:val="24"/>
        </w:rPr>
        <w:t xml:space="preserve"> shifting from narrow </w:t>
      </w:r>
      <w:r w:rsidR="00DF643D" w:rsidRPr="00FC0285">
        <w:rPr>
          <w:szCs w:val="24"/>
        </w:rPr>
        <w:t xml:space="preserve">international earnings and expenditure to a wider scope. </w:t>
      </w:r>
      <w:r w:rsidR="004C6680" w:rsidRPr="00FC0285">
        <w:rPr>
          <w:szCs w:val="24"/>
        </w:rPr>
        <w:t xml:space="preserve">The components of </w:t>
      </w:r>
      <w:r w:rsidR="00423E9A">
        <w:rPr>
          <w:szCs w:val="24"/>
        </w:rPr>
        <w:t xml:space="preserve">the </w:t>
      </w:r>
      <w:r w:rsidR="004C6680" w:rsidRPr="00FC0285">
        <w:rPr>
          <w:szCs w:val="24"/>
        </w:rPr>
        <w:t xml:space="preserve">balance of payment include </w:t>
      </w:r>
      <w:r w:rsidR="00423E9A">
        <w:rPr>
          <w:szCs w:val="24"/>
        </w:rPr>
        <w:t xml:space="preserve">the </w:t>
      </w:r>
      <w:r w:rsidR="004C6680" w:rsidRPr="00FC0285">
        <w:rPr>
          <w:szCs w:val="24"/>
        </w:rPr>
        <w:t>current account, financial account</w:t>
      </w:r>
      <w:r w:rsidR="00423E9A">
        <w:rPr>
          <w:szCs w:val="24"/>
        </w:rPr>
        <w:t>,</w:t>
      </w:r>
      <w:r w:rsidR="004C6680" w:rsidRPr="00FC0285">
        <w:rPr>
          <w:szCs w:val="24"/>
        </w:rPr>
        <w:t xml:space="preserve"> and capital account. </w:t>
      </w:r>
      <w:r w:rsidR="005956E7" w:rsidRPr="00FC0285">
        <w:rPr>
          <w:szCs w:val="24"/>
        </w:rPr>
        <w:t>The current accounts are used to measure international trade, direct payments</w:t>
      </w:r>
      <w:r w:rsidR="00423E9A">
        <w:rPr>
          <w:szCs w:val="24"/>
        </w:rPr>
        <w:t>,</w:t>
      </w:r>
      <w:r w:rsidR="005956E7" w:rsidRPr="00FC0285">
        <w:rPr>
          <w:szCs w:val="24"/>
        </w:rPr>
        <w:t xml:space="preserve"> and net income on investments. Financial accounts</w:t>
      </w:r>
      <w:r w:rsidR="00423E9A">
        <w:rPr>
          <w:szCs w:val="24"/>
        </w:rPr>
        <w:t>,</w:t>
      </w:r>
      <w:r w:rsidR="005956E7" w:rsidRPr="00FC0285">
        <w:rPr>
          <w:szCs w:val="24"/>
        </w:rPr>
        <w:t xml:space="preserve"> on the other hand, provide the description of </w:t>
      </w:r>
      <w:r w:rsidR="00423E9A">
        <w:rPr>
          <w:szCs w:val="24"/>
        </w:rPr>
        <w:t xml:space="preserve">the </w:t>
      </w:r>
      <w:r w:rsidR="005956E7" w:rsidRPr="00FC0285">
        <w:rPr>
          <w:szCs w:val="24"/>
        </w:rPr>
        <w:t>change of international ownership</w:t>
      </w:r>
      <w:r w:rsidR="00423E9A">
        <w:rPr>
          <w:szCs w:val="24"/>
        </w:rPr>
        <w:t>,</w:t>
      </w:r>
      <w:r w:rsidR="005956E7" w:rsidRPr="00FC0285">
        <w:rPr>
          <w:szCs w:val="24"/>
        </w:rPr>
        <w:t xml:space="preserve"> while capital accounts </w:t>
      </w:r>
      <w:r w:rsidR="00FE3DB6" w:rsidRPr="00FC0285">
        <w:rPr>
          <w:szCs w:val="24"/>
        </w:rPr>
        <w:t>entail</w:t>
      </w:r>
      <w:r w:rsidR="005956E7" w:rsidRPr="00FC0285">
        <w:rPr>
          <w:szCs w:val="24"/>
        </w:rPr>
        <w:t xml:space="preserve"> financial transactions that do not impact the country</w:t>
      </w:r>
      <w:r w:rsidR="00FC0285">
        <w:rPr>
          <w:szCs w:val="24"/>
        </w:rPr>
        <w:t>'</w:t>
      </w:r>
      <w:r w:rsidR="005956E7" w:rsidRPr="00FC0285">
        <w:rPr>
          <w:szCs w:val="24"/>
        </w:rPr>
        <w:t xml:space="preserve">s economic output. </w:t>
      </w:r>
    </w:p>
    <w:p w:rsidR="0003611F" w:rsidRPr="00FC0285" w:rsidRDefault="00FE3DB6" w:rsidP="006342A1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B50442" w:rsidRPr="00FC0285">
        <w:rPr>
          <w:szCs w:val="24"/>
        </w:rPr>
        <w:t>International financing and foreign trade are state monopolies</w:t>
      </w:r>
      <w:r w:rsidR="00423E9A">
        <w:rPr>
          <w:szCs w:val="24"/>
        </w:rPr>
        <w:t>,</w:t>
      </w:r>
      <w:r w:rsidR="00B50442" w:rsidRPr="00FC0285">
        <w:rPr>
          <w:szCs w:val="24"/>
        </w:rPr>
        <w:t xml:space="preserve"> with the People</w:t>
      </w:r>
      <w:r w:rsidR="00FC0285">
        <w:rPr>
          <w:szCs w:val="24"/>
        </w:rPr>
        <w:t>'</w:t>
      </w:r>
      <w:r w:rsidR="00B50442" w:rsidRPr="00FC0285">
        <w:rPr>
          <w:szCs w:val="24"/>
        </w:rPr>
        <w:t xml:space="preserve">s Bank of China (PBC) controlling the policies and transactions. </w:t>
      </w:r>
      <w:r w:rsidR="00255F1B" w:rsidRPr="00FC0285">
        <w:rPr>
          <w:szCs w:val="24"/>
        </w:rPr>
        <w:t>The People</w:t>
      </w:r>
      <w:r w:rsidR="00FC0285">
        <w:rPr>
          <w:szCs w:val="24"/>
        </w:rPr>
        <w:t>'</w:t>
      </w:r>
      <w:r w:rsidR="00255F1B" w:rsidRPr="00FC0285">
        <w:rPr>
          <w:szCs w:val="24"/>
        </w:rPr>
        <w:t xml:space="preserve">s Bank of China sets exchange rates and releases foreign exchange to banks in China. </w:t>
      </w:r>
      <w:r w:rsidR="00673C98" w:rsidRPr="00FC0285">
        <w:rPr>
          <w:szCs w:val="24"/>
        </w:rPr>
        <w:t xml:space="preserve">The Chinese government has maintained financial stability mainly due to the policy of strict controls over international transactions. </w:t>
      </w:r>
      <w:r w:rsidR="00852F9C" w:rsidRPr="00FC0285">
        <w:rPr>
          <w:szCs w:val="24"/>
        </w:rPr>
        <w:t>The current account balance is reported quarterly. In the second quarter of 2020, China</w:t>
      </w:r>
      <w:r w:rsidR="00FC0285">
        <w:rPr>
          <w:szCs w:val="24"/>
        </w:rPr>
        <w:t>'</w:t>
      </w:r>
      <w:r w:rsidR="00852F9C" w:rsidRPr="00FC0285">
        <w:rPr>
          <w:szCs w:val="24"/>
        </w:rPr>
        <w:t xml:space="preserve">s current account balance </w:t>
      </w:r>
      <w:r w:rsidR="001D2EE1" w:rsidRPr="00FC0285">
        <w:rPr>
          <w:szCs w:val="24"/>
        </w:rPr>
        <w:t>was $193.4 billion</w:t>
      </w:r>
      <w:r w:rsidR="00423E9A">
        <w:rPr>
          <w:szCs w:val="24"/>
        </w:rPr>
        <w:t>,</w:t>
      </w:r>
      <w:r w:rsidR="009F1D57" w:rsidRPr="00FC0285">
        <w:rPr>
          <w:szCs w:val="24"/>
        </w:rPr>
        <w:t xml:space="preserve"> an increase from the previous year</w:t>
      </w:r>
      <w:r w:rsidR="00FC0285">
        <w:rPr>
          <w:szCs w:val="24"/>
        </w:rPr>
        <w:t>'</w:t>
      </w:r>
      <w:r w:rsidR="009F1D57" w:rsidRPr="00FC0285">
        <w:rPr>
          <w:szCs w:val="24"/>
        </w:rPr>
        <w:t xml:space="preserve">s $141.3 billion. </w:t>
      </w:r>
      <w:r w:rsidR="00D27E01" w:rsidRPr="00FC0285">
        <w:rPr>
          <w:szCs w:val="24"/>
        </w:rPr>
        <w:t xml:space="preserve">This means that China exported more goods and services than it imported. </w:t>
      </w:r>
      <w:r w:rsidR="00423E9A">
        <w:rPr>
          <w:szCs w:val="24"/>
        </w:rPr>
        <w:t>The c</w:t>
      </w:r>
      <w:r w:rsidR="0065148E" w:rsidRPr="00FC0285">
        <w:rPr>
          <w:szCs w:val="24"/>
        </w:rPr>
        <w:t xml:space="preserve">urrent account surplus causes </w:t>
      </w:r>
      <w:r w:rsidR="00423E9A">
        <w:rPr>
          <w:szCs w:val="24"/>
        </w:rPr>
        <w:t xml:space="preserve">an </w:t>
      </w:r>
      <w:r w:rsidR="0065148E" w:rsidRPr="00FC0285">
        <w:rPr>
          <w:szCs w:val="24"/>
        </w:rPr>
        <w:t>appreciation of the currenc</w:t>
      </w:r>
      <w:r w:rsidR="00456681" w:rsidRPr="00FC0285">
        <w:rPr>
          <w:szCs w:val="24"/>
        </w:rPr>
        <w:t>y</w:t>
      </w:r>
      <w:r w:rsidR="00423E9A">
        <w:rPr>
          <w:szCs w:val="24"/>
        </w:rPr>
        <w:t>,</w:t>
      </w:r>
      <w:r w:rsidR="00456681" w:rsidRPr="00FC0285">
        <w:rPr>
          <w:szCs w:val="24"/>
        </w:rPr>
        <w:t xml:space="preserve"> which affects setting up foreign business in china </w:t>
      </w:r>
      <w:r w:rsidR="00456681" w:rsidRPr="00FC0285">
        <w:rPr>
          <w:szCs w:val="24"/>
        </w:rPr>
        <w:lastRenderedPageBreak/>
        <w:t xml:space="preserve">as investors will spend more. </w:t>
      </w:r>
      <w:r w:rsidR="009F1D57" w:rsidRPr="00FC0285">
        <w:rPr>
          <w:szCs w:val="24"/>
        </w:rPr>
        <w:t>The capital and financial account</w:t>
      </w:r>
      <w:r w:rsidR="00423E9A">
        <w:rPr>
          <w:szCs w:val="24"/>
        </w:rPr>
        <w:t>,</w:t>
      </w:r>
      <w:r w:rsidR="009F1D57" w:rsidRPr="00FC0285">
        <w:rPr>
          <w:szCs w:val="24"/>
        </w:rPr>
        <w:t xml:space="preserve"> however</w:t>
      </w:r>
      <w:r w:rsidR="00423E9A">
        <w:rPr>
          <w:szCs w:val="24"/>
        </w:rPr>
        <w:t>,</w:t>
      </w:r>
      <w:r w:rsidR="009F1D57" w:rsidRPr="00FC0285">
        <w:rPr>
          <w:szCs w:val="24"/>
        </w:rPr>
        <w:t xml:space="preserve"> recorded a deficit of $-50.445 billion</w:t>
      </w:r>
      <w:r w:rsidR="00423E9A">
        <w:rPr>
          <w:szCs w:val="24"/>
        </w:rPr>
        <w:t>;</w:t>
      </w:r>
      <w:r w:rsidR="009F1D57" w:rsidRPr="00FC0285">
        <w:rPr>
          <w:szCs w:val="24"/>
        </w:rPr>
        <w:t xml:space="preserve"> this was a decrease from the previous quarter reported $-34.464 billion</w:t>
      </w:r>
      <w:r w:rsidR="000E7446" w:rsidRPr="00FC0285">
        <w:rPr>
          <w:szCs w:val="24"/>
        </w:rPr>
        <w:t xml:space="preserve">. </w:t>
      </w:r>
      <w:r w:rsidR="00163C47" w:rsidRPr="00FC0285">
        <w:rPr>
          <w:szCs w:val="24"/>
        </w:rPr>
        <w:t>This deficit</w:t>
      </w:r>
      <w:r w:rsidR="00FD2FE3" w:rsidRPr="00FC0285">
        <w:rPr>
          <w:szCs w:val="24"/>
        </w:rPr>
        <w:t xml:space="preserve"> shows that money is flowing out of China</w:t>
      </w:r>
      <w:r w:rsidR="00423E9A">
        <w:rPr>
          <w:szCs w:val="24"/>
        </w:rPr>
        <w:t>,</w:t>
      </w:r>
      <w:r w:rsidR="00FD2FE3" w:rsidRPr="00FC0285">
        <w:rPr>
          <w:szCs w:val="24"/>
        </w:rPr>
        <w:t xml:space="preserve"> and the country is </w:t>
      </w:r>
      <w:r w:rsidR="0016114B" w:rsidRPr="00FC0285">
        <w:rPr>
          <w:szCs w:val="24"/>
        </w:rPr>
        <w:t xml:space="preserve">amassing foreign assets. </w:t>
      </w:r>
      <w:r w:rsidR="00824C10" w:rsidRPr="00FC0285">
        <w:rPr>
          <w:szCs w:val="24"/>
        </w:rPr>
        <w:t>W</w:t>
      </w:r>
      <w:r w:rsidR="000E7446" w:rsidRPr="00FC0285">
        <w:rPr>
          <w:szCs w:val="24"/>
        </w:rPr>
        <w:t xml:space="preserve">hen excluding reserve assets, the financial account recorded a deficit of </w:t>
      </w:r>
      <w:r w:rsidR="00610935" w:rsidRPr="00FC0285">
        <w:rPr>
          <w:szCs w:val="24"/>
        </w:rPr>
        <w:t xml:space="preserve">$31.6 billion while reserve assets </w:t>
      </w:r>
      <w:r w:rsidR="00423E9A">
        <w:rPr>
          <w:szCs w:val="24"/>
        </w:rPr>
        <w:t xml:space="preserve">were </w:t>
      </w:r>
      <w:r w:rsidR="00610935" w:rsidRPr="00FC0285">
        <w:rPr>
          <w:szCs w:val="24"/>
        </w:rPr>
        <w:t xml:space="preserve">reduced by $3.9 billion. </w:t>
      </w:r>
      <w:r w:rsidR="005C257F" w:rsidRPr="00FC0285">
        <w:rPr>
          <w:szCs w:val="24"/>
        </w:rPr>
        <w:t>The 1979 trade liberalization and economic reforms removed restrictions on the social productivity of labor and improved China</w:t>
      </w:r>
      <w:r w:rsidR="00FC0285">
        <w:rPr>
          <w:szCs w:val="24"/>
        </w:rPr>
        <w:t>'</w:t>
      </w:r>
      <w:r w:rsidR="005C257F" w:rsidRPr="00FC0285">
        <w:rPr>
          <w:szCs w:val="24"/>
        </w:rPr>
        <w:t>s international involvement</w:t>
      </w:r>
      <w:r w:rsidR="00423E9A">
        <w:rPr>
          <w:szCs w:val="24"/>
        </w:rPr>
        <w:t>, therefore,</w:t>
      </w:r>
      <w:r w:rsidR="005C257F" w:rsidRPr="00FC0285">
        <w:rPr>
          <w:szCs w:val="24"/>
        </w:rPr>
        <w:t xml:space="preserve"> leading to the unparalleled </w:t>
      </w:r>
      <w:r w:rsidR="005E3221" w:rsidRPr="00FC0285">
        <w:rPr>
          <w:szCs w:val="24"/>
        </w:rPr>
        <w:t>increase in the country</w:t>
      </w:r>
      <w:r w:rsidR="00FC0285">
        <w:rPr>
          <w:szCs w:val="24"/>
        </w:rPr>
        <w:t>'</w:t>
      </w:r>
      <w:r w:rsidR="005E3221" w:rsidRPr="00FC0285">
        <w:rPr>
          <w:szCs w:val="24"/>
        </w:rPr>
        <w:t xml:space="preserve">s international activities. </w:t>
      </w:r>
    </w:p>
    <w:p w:rsidR="0003611F" w:rsidRPr="00FC0285" w:rsidRDefault="0003611F" w:rsidP="000C4E81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Foreign Direct Investment</w:t>
      </w:r>
    </w:p>
    <w:p w:rsidR="0003611F" w:rsidRPr="00FC0285" w:rsidRDefault="0003611F" w:rsidP="006342A1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6D3BED" w:rsidRPr="00FC0285">
        <w:rPr>
          <w:szCs w:val="24"/>
        </w:rPr>
        <w:t xml:space="preserve">Foreign direct investment indicates capital invested in a country providing service and manufacturing capabilities for local and international markets. </w:t>
      </w:r>
      <w:r w:rsidR="00E2483A" w:rsidRPr="00FC0285">
        <w:rPr>
          <w:szCs w:val="24"/>
        </w:rPr>
        <w:t xml:space="preserve">According to </w:t>
      </w:r>
      <w:r w:rsidR="00FC0285">
        <w:rPr>
          <w:szCs w:val="24"/>
        </w:rPr>
        <w:t>the World Bank</w:t>
      </w:r>
      <w:r w:rsidR="00E2483A" w:rsidRPr="00FC0285">
        <w:rPr>
          <w:szCs w:val="24"/>
        </w:rPr>
        <w:t>, foreign direct investment in Chin</w:t>
      </w:r>
      <w:r w:rsidR="007E0C23" w:rsidRPr="00FC0285">
        <w:rPr>
          <w:szCs w:val="24"/>
        </w:rPr>
        <w:t>a was $141 billion in 2019</w:t>
      </w:r>
      <w:r w:rsidR="00423E9A">
        <w:rPr>
          <w:szCs w:val="24"/>
        </w:rPr>
        <w:t>,</w:t>
      </w:r>
      <w:r w:rsidR="007E0C23" w:rsidRPr="00FC0285">
        <w:rPr>
          <w:szCs w:val="24"/>
        </w:rPr>
        <w:t xml:space="preserve"> growing by 2% from $138billion in 2018. </w:t>
      </w:r>
      <w:r w:rsidR="00CD1D1D" w:rsidRPr="00FC0285">
        <w:rPr>
          <w:szCs w:val="24"/>
        </w:rPr>
        <w:t xml:space="preserve">The increase in foreign direct investments was favored by the creation of free trade zones, development of </w:t>
      </w:r>
      <w:r w:rsidR="00423E9A">
        <w:rPr>
          <w:szCs w:val="24"/>
        </w:rPr>
        <w:t xml:space="preserve">the </w:t>
      </w:r>
      <w:r w:rsidR="00CD1D1D" w:rsidRPr="00FC0285">
        <w:rPr>
          <w:szCs w:val="24"/>
        </w:rPr>
        <w:t>high-tech sector</w:t>
      </w:r>
      <w:r w:rsidR="00423E9A">
        <w:rPr>
          <w:szCs w:val="24"/>
        </w:rPr>
        <w:t>,</w:t>
      </w:r>
      <w:r w:rsidR="00CD1D1D" w:rsidRPr="00FC0285">
        <w:rPr>
          <w:szCs w:val="24"/>
        </w:rPr>
        <w:t xml:space="preserve"> and trade liberalization plans. </w:t>
      </w:r>
      <w:r w:rsidR="006D2F87" w:rsidRPr="00FC0285">
        <w:rPr>
          <w:szCs w:val="24"/>
        </w:rPr>
        <w:t>China</w:t>
      </w:r>
      <w:r w:rsidR="00FC0285">
        <w:rPr>
          <w:szCs w:val="24"/>
        </w:rPr>
        <w:t>'</w:t>
      </w:r>
      <w:r w:rsidR="006D2F87" w:rsidRPr="00FC0285">
        <w:rPr>
          <w:szCs w:val="24"/>
        </w:rPr>
        <w:t>s foreign direct investment (FDI) stock has experienced exponential growth in the last decade</w:t>
      </w:r>
      <w:r w:rsidR="00423E9A">
        <w:rPr>
          <w:szCs w:val="24"/>
        </w:rPr>
        <w:t>,</w:t>
      </w:r>
      <w:r w:rsidR="006D2F87" w:rsidRPr="00FC0285">
        <w:rPr>
          <w:szCs w:val="24"/>
        </w:rPr>
        <w:t xml:space="preserve"> from the reported $587 billion in 2010 to $1769 billion in 2019. Th</w:t>
      </w:r>
      <w:r w:rsidR="008C5C3F" w:rsidRPr="00FC0285">
        <w:rPr>
          <w:szCs w:val="24"/>
        </w:rPr>
        <w:t xml:space="preserve">e growth was propelled by </w:t>
      </w:r>
      <w:r w:rsidR="00423E9A">
        <w:rPr>
          <w:szCs w:val="24"/>
        </w:rPr>
        <w:t xml:space="preserve">the </w:t>
      </w:r>
      <w:r w:rsidR="008C5C3F" w:rsidRPr="00FC0285">
        <w:rPr>
          <w:szCs w:val="24"/>
        </w:rPr>
        <w:t>implementation of various multinational projects such as BASF (Germany), Tesla (USA), Exxon Mobil (USA)</w:t>
      </w:r>
      <w:r w:rsidR="00423E9A">
        <w:rPr>
          <w:szCs w:val="24"/>
        </w:rPr>
        <w:t>,</w:t>
      </w:r>
      <w:r w:rsidR="008C5C3F" w:rsidRPr="00FC0285">
        <w:rPr>
          <w:szCs w:val="24"/>
        </w:rPr>
        <w:t xml:space="preserve"> and Volkswagen</w:t>
      </w:r>
      <w:r w:rsidR="003077DE" w:rsidRPr="00FC0285">
        <w:rPr>
          <w:szCs w:val="24"/>
        </w:rPr>
        <w:t xml:space="preserve"> (</w:t>
      </w:r>
      <w:r w:rsidR="003077DE" w:rsidRPr="00FC0285">
        <w:rPr>
          <w:color w:val="222222"/>
          <w:szCs w:val="24"/>
          <w:shd w:val="clear" w:color="auto" w:fill="FFFFFF"/>
        </w:rPr>
        <w:t>Adeel-Farooq, Bakar&amp; Raji(2017)</w:t>
      </w:r>
      <w:r w:rsidR="008C5C3F" w:rsidRPr="00FC0285">
        <w:rPr>
          <w:szCs w:val="24"/>
        </w:rPr>
        <w:t xml:space="preserve">.  </w:t>
      </w:r>
      <w:r w:rsidR="0045357D" w:rsidRPr="00FC0285">
        <w:rPr>
          <w:szCs w:val="24"/>
        </w:rPr>
        <w:t>UNCTAD</w:t>
      </w:r>
      <w:r w:rsidR="006D2F87" w:rsidRPr="00FC0285">
        <w:rPr>
          <w:szCs w:val="24"/>
        </w:rPr>
        <w:t xml:space="preserve"> reports indicate that</w:t>
      </w:r>
      <w:r w:rsidR="008C5C3F" w:rsidRPr="00FC0285">
        <w:rPr>
          <w:szCs w:val="24"/>
        </w:rPr>
        <w:t xml:space="preserve"> in 2020</w:t>
      </w:r>
      <w:r w:rsidR="006D2F87" w:rsidRPr="00FC0285">
        <w:rPr>
          <w:szCs w:val="24"/>
        </w:rPr>
        <w:t xml:space="preserve"> China overtook the U.S. to be the largest FDI recipient. </w:t>
      </w:r>
      <w:r w:rsidR="008C5C3F" w:rsidRPr="00FC0285">
        <w:rPr>
          <w:szCs w:val="24"/>
        </w:rPr>
        <w:t>Regional investment in China from South Ea</w:t>
      </w:r>
      <w:r w:rsidR="00E337AD" w:rsidRPr="00FC0285">
        <w:rPr>
          <w:szCs w:val="24"/>
        </w:rPr>
        <w:t xml:space="preserve">stern national continue to increase even as inflows decrease from Europe and </w:t>
      </w:r>
      <w:r w:rsidR="00423E9A">
        <w:rPr>
          <w:szCs w:val="24"/>
        </w:rPr>
        <w:t xml:space="preserve">the </w:t>
      </w:r>
      <w:r w:rsidR="00E337AD" w:rsidRPr="00FC0285">
        <w:rPr>
          <w:szCs w:val="24"/>
        </w:rPr>
        <w:t xml:space="preserve">USA. </w:t>
      </w:r>
      <w:r w:rsidR="007964FB" w:rsidRPr="00FC0285">
        <w:rPr>
          <w:szCs w:val="24"/>
        </w:rPr>
        <w:t xml:space="preserve">Foreign direct investments in China </w:t>
      </w:r>
      <w:r w:rsidR="00423E9A">
        <w:rPr>
          <w:szCs w:val="24"/>
        </w:rPr>
        <w:t>are</w:t>
      </w:r>
      <w:r w:rsidR="007964FB" w:rsidRPr="00FC0285">
        <w:rPr>
          <w:szCs w:val="24"/>
        </w:rPr>
        <w:t xml:space="preserve"> mainly on construction, computer services, leasing businesses, manufacturing, real estate, financial intermediation, energy, transport, scientific research, wholesale and retail trade. </w:t>
      </w:r>
      <w:r w:rsidR="00BB1869" w:rsidRPr="00FC0285">
        <w:rPr>
          <w:szCs w:val="24"/>
        </w:rPr>
        <w:t xml:space="preserve">The latest global investment rends reports by UNCTAD </w:t>
      </w:r>
      <w:r w:rsidR="00BB1869" w:rsidRPr="00FC0285">
        <w:rPr>
          <w:szCs w:val="24"/>
        </w:rPr>
        <w:lastRenderedPageBreak/>
        <w:t>(</w:t>
      </w:r>
      <w:r w:rsidR="0045357D" w:rsidRPr="00FC0285">
        <w:rPr>
          <w:szCs w:val="24"/>
        </w:rPr>
        <w:t>2021</w:t>
      </w:r>
      <w:r w:rsidR="00BB1869" w:rsidRPr="00FC0285">
        <w:rPr>
          <w:szCs w:val="24"/>
        </w:rPr>
        <w:t>) reports that global foreign direct investment fell by 42% in 2020</w:t>
      </w:r>
      <w:r w:rsidR="00423E9A">
        <w:rPr>
          <w:szCs w:val="24"/>
        </w:rPr>
        <w:t>,</w:t>
      </w:r>
      <w:r w:rsidR="00BB1869" w:rsidRPr="00FC0285">
        <w:rPr>
          <w:szCs w:val="24"/>
        </w:rPr>
        <w:t xml:space="preserve"> mainly due to the Covid-19 pandemic but grew by 12% in East Asia. </w:t>
      </w:r>
      <w:r w:rsidR="006B06F2" w:rsidRPr="00FC0285">
        <w:rPr>
          <w:szCs w:val="24"/>
        </w:rPr>
        <w:t>China</w:t>
      </w:r>
      <w:r w:rsidR="00FC0285">
        <w:rPr>
          <w:szCs w:val="24"/>
        </w:rPr>
        <w:t>'</w:t>
      </w:r>
      <w:r w:rsidR="006B06F2" w:rsidRPr="00FC0285">
        <w:rPr>
          <w:szCs w:val="24"/>
        </w:rPr>
        <w:t xml:space="preserve">s FDI grew 4% the same year as </w:t>
      </w:r>
      <w:r w:rsidR="00423E9A">
        <w:rPr>
          <w:szCs w:val="24"/>
        </w:rPr>
        <w:t xml:space="preserve">a </w:t>
      </w:r>
      <w:r w:rsidR="006B06F2" w:rsidRPr="00FC0285">
        <w:rPr>
          <w:szCs w:val="24"/>
        </w:rPr>
        <w:t xml:space="preserve">result of the rise of </w:t>
      </w:r>
      <w:r w:rsidR="00423E9A">
        <w:rPr>
          <w:szCs w:val="24"/>
        </w:rPr>
        <w:t xml:space="preserve">the </w:t>
      </w:r>
      <w:r w:rsidR="006B06F2" w:rsidRPr="00FC0285">
        <w:rPr>
          <w:szCs w:val="24"/>
        </w:rPr>
        <w:t xml:space="preserve">value of </w:t>
      </w:r>
      <w:r w:rsidR="004B2EF2" w:rsidRPr="00FC0285">
        <w:rPr>
          <w:szCs w:val="24"/>
        </w:rPr>
        <w:t>a</w:t>
      </w:r>
      <w:r w:rsidR="006B06F2" w:rsidRPr="00FC0285">
        <w:rPr>
          <w:szCs w:val="24"/>
        </w:rPr>
        <w:t>cquisitions and merger</w:t>
      </w:r>
      <w:r w:rsidR="004B2EF2" w:rsidRPr="00FC0285">
        <w:rPr>
          <w:szCs w:val="24"/>
        </w:rPr>
        <w:t xml:space="preserve"> transactions.</w:t>
      </w:r>
    </w:p>
    <w:p w:rsidR="00A26BF5" w:rsidRPr="00FC0285" w:rsidRDefault="005815C6" w:rsidP="006342A1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  <w:t>In 2020, the World Bank</w:t>
      </w:r>
      <w:r w:rsidR="002D6330" w:rsidRPr="00FC0285">
        <w:rPr>
          <w:szCs w:val="24"/>
        </w:rPr>
        <w:t xml:space="preserve"> Business Report</w:t>
      </w:r>
      <w:r w:rsidRPr="00FC0285">
        <w:rPr>
          <w:szCs w:val="24"/>
        </w:rPr>
        <w:t xml:space="preserve"> ranked China 31</w:t>
      </w:r>
      <w:r w:rsidRPr="00FC0285">
        <w:rPr>
          <w:szCs w:val="24"/>
          <w:vertAlign w:val="superscript"/>
        </w:rPr>
        <w:t>st</w:t>
      </w:r>
      <w:r w:rsidRPr="00FC0285">
        <w:rPr>
          <w:szCs w:val="24"/>
        </w:rPr>
        <w:t xml:space="preserve"> out of 195 countries in the ease of </w:t>
      </w:r>
      <w:r w:rsidR="00423E9A">
        <w:rPr>
          <w:szCs w:val="24"/>
        </w:rPr>
        <w:t>mak</w:t>
      </w:r>
      <w:r w:rsidRPr="00FC0285">
        <w:rPr>
          <w:szCs w:val="24"/>
        </w:rPr>
        <w:t>ing business</w:t>
      </w:r>
      <w:r w:rsidR="00423E9A">
        <w:rPr>
          <w:szCs w:val="24"/>
        </w:rPr>
        <w:t>,</w:t>
      </w:r>
      <w:r w:rsidRPr="00FC0285">
        <w:rPr>
          <w:szCs w:val="24"/>
        </w:rPr>
        <w:t xml:space="preserve"> an improvement from the previous year</w:t>
      </w:r>
      <w:r w:rsidR="00FC0285">
        <w:rPr>
          <w:szCs w:val="24"/>
        </w:rPr>
        <w:t>'</w:t>
      </w:r>
      <w:r w:rsidRPr="00FC0285">
        <w:rPr>
          <w:szCs w:val="24"/>
        </w:rPr>
        <w:t>s 46</w:t>
      </w:r>
      <w:r w:rsidRPr="00FC0285">
        <w:rPr>
          <w:szCs w:val="24"/>
          <w:vertAlign w:val="superscript"/>
        </w:rPr>
        <w:t>th</w:t>
      </w:r>
      <w:r w:rsidRPr="00FC0285">
        <w:rPr>
          <w:szCs w:val="24"/>
        </w:rPr>
        <w:t xml:space="preserve"> position. </w:t>
      </w:r>
      <w:r w:rsidR="007925C5" w:rsidRPr="00FC0285">
        <w:rPr>
          <w:szCs w:val="24"/>
        </w:rPr>
        <w:t>This improvement reflect</w:t>
      </w:r>
      <w:r w:rsidR="00423E9A">
        <w:rPr>
          <w:szCs w:val="24"/>
        </w:rPr>
        <w:t>s</w:t>
      </w:r>
      <w:r w:rsidR="007925C5" w:rsidRPr="00FC0285">
        <w:rPr>
          <w:szCs w:val="24"/>
        </w:rPr>
        <w:t xml:space="preserve"> progress in various processes of doing business in China</w:t>
      </w:r>
      <w:r w:rsidR="00423E9A">
        <w:rPr>
          <w:szCs w:val="24"/>
        </w:rPr>
        <w:t>,</w:t>
      </w:r>
      <w:r w:rsidR="007925C5" w:rsidRPr="00FC0285">
        <w:rPr>
          <w:szCs w:val="24"/>
        </w:rPr>
        <w:t xml:space="preserve"> especially </w:t>
      </w:r>
      <w:r w:rsidR="00423E9A">
        <w:rPr>
          <w:szCs w:val="24"/>
        </w:rPr>
        <w:t xml:space="preserve">the </w:t>
      </w:r>
      <w:r w:rsidR="007925C5" w:rsidRPr="00FC0285">
        <w:rPr>
          <w:szCs w:val="24"/>
        </w:rPr>
        <w:t xml:space="preserve">acquisition of business permits, </w:t>
      </w:r>
      <w:r w:rsidR="003A6D77" w:rsidRPr="00FC0285">
        <w:rPr>
          <w:szCs w:val="24"/>
        </w:rPr>
        <w:t>improvement of electricity access</w:t>
      </w:r>
      <w:r w:rsidR="00423E9A">
        <w:rPr>
          <w:szCs w:val="24"/>
        </w:rPr>
        <w:t>,</w:t>
      </w:r>
      <w:r w:rsidR="003A6D77" w:rsidRPr="00FC0285">
        <w:rPr>
          <w:szCs w:val="24"/>
        </w:rPr>
        <w:t xml:space="preserve"> and procedures required to start a business. </w:t>
      </w:r>
      <w:r w:rsidR="00DA57E2" w:rsidRPr="00FC0285">
        <w:rPr>
          <w:szCs w:val="24"/>
        </w:rPr>
        <w:t xml:space="preserve">China has demonstrated economic reform agendas that are focused on improving the business environment over the years. These reforms have aimed at reducing barriers to foreign investments and enhancing </w:t>
      </w:r>
      <w:r w:rsidR="00423E9A">
        <w:rPr>
          <w:szCs w:val="24"/>
        </w:rPr>
        <w:t xml:space="preserve">the </w:t>
      </w:r>
      <w:r w:rsidR="00DA57E2" w:rsidRPr="00FC0285">
        <w:rPr>
          <w:szCs w:val="24"/>
        </w:rPr>
        <w:t xml:space="preserve">efficiency of business processes such as tax cuts. </w:t>
      </w:r>
      <w:r w:rsidR="00B308A9" w:rsidRPr="00FC0285">
        <w:rPr>
          <w:szCs w:val="24"/>
        </w:rPr>
        <w:t xml:space="preserve">Additionally, to attract more foreign investors, China has established mechanisms to streamline foreign customs clearance, reduce import tariffs, enhance </w:t>
      </w:r>
      <w:r w:rsidR="00423E9A">
        <w:rPr>
          <w:szCs w:val="24"/>
        </w:rPr>
        <w:t xml:space="preserve">the </w:t>
      </w:r>
      <w:r w:rsidR="00B308A9" w:rsidRPr="00FC0285">
        <w:rPr>
          <w:szCs w:val="24"/>
        </w:rPr>
        <w:t xml:space="preserve">delivery of major foreign investments, and created an online filing system that is used to regulate foreign direct investments. </w:t>
      </w:r>
      <w:r w:rsidR="0082063F" w:rsidRPr="00FC0285">
        <w:rPr>
          <w:szCs w:val="24"/>
        </w:rPr>
        <w:t>With its high population offering</w:t>
      </w:r>
      <w:r w:rsidR="00666B64" w:rsidRPr="00FC0285">
        <w:rPr>
          <w:szCs w:val="24"/>
        </w:rPr>
        <w:t xml:space="preserve"> a pool of labor and potential partners ready to learn and evolve, China is </w:t>
      </w:r>
      <w:r w:rsidR="00067804" w:rsidRPr="00FC0285">
        <w:rPr>
          <w:szCs w:val="24"/>
        </w:rPr>
        <w:t>providing</w:t>
      </w:r>
      <w:r w:rsidR="00BD6C85" w:rsidRPr="00FC0285">
        <w:rPr>
          <w:szCs w:val="24"/>
        </w:rPr>
        <w:t xml:space="preserve"> low</w:t>
      </w:r>
      <w:r w:rsidR="00423E9A">
        <w:rPr>
          <w:szCs w:val="24"/>
        </w:rPr>
        <w:t>-</w:t>
      </w:r>
      <w:r w:rsidR="00BD6C85" w:rsidRPr="00FC0285">
        <w:rPr>
          <w:szCs w:val="24"/>
        </w:rPr>
        <w:t>cost production and market opportunities</w:t>
      </w:r>
      <w:r w:rsidR="00423E9A">
        <w:rPr>
          <w:szCs w:val="24"/>
        </w:rPr>
        <w:t>, therefore,</w:t>
      </w:r>
      <w:r w:rsidR="00BD6C85" w:rsidRPr="00FC0285">
        <w:rPr>
          <w:szCs w:val="24"/>
        </w:rPr>
        <w:t xml:space="preserve"> attracting foreign investors. </w:t>
      </w:r>
      <w:r w:rsidR="00484A17" w:rsidRPr="00FC0285">
        <w:rPr>
          <w:szCs w:val="24"/>
        </w:rPr>
        <w:t xml:space="preserve">However, even with the significant measures taken by the government to boost foreign direct investment, there are other factors that impede these investments. </w:t>
      </w:r>
      <w:r w:rsidR="00067804" w:rsidRPr="00FC0285">
        <w:rPr>
          <w:szCs w:val="24"/>
        </w:rPr>
        <w:t>These factors</w:t>
      </w:r>
      <w:r w:rsidR="00484A17" w:rsidRPr="00FC0285">
        <w:rPr>
          <w:szCs w:val="24"/>
        </w:rPr>
        <w:t xml:space="preserve"> include; corruption, legal uncertainty, lack of transparency, protectionism measures that favor local businesses</w:t>
      </w:r>
      <w:r w:rsidR="00423E9A">
        <w:rPr>
          <w:szCs w:val="24"/>
        </w:rPr>
        <w:t>,</w:t>
      </w:r>
      <w:r w:rsidR="00484A17" w:rsidRPr="00FC0285">
        <w:rPr>
          <w:szCs w:val="24"/>
        </w:rPr>
        <w:t xml:space="preserve"> and inadequate protection of intellectual property rights. </w:t>
      </w:r>
      <w:r w:rsidR="00182E41" w:rsidRPr="00FC0285">
        <w:rPr>
          <w:szCs w:val="24"/>
        </w:rPr>
        <w:t>Almost a third of China</w:t>
      </w:r>
      <w:r w:rsidR="00FC0285">
        <w:rPr>
          <w:szCs w:val="24"/>
        </w:rPr>
        <w:t>'</w:t>
      </w:r>
      <w:r w:rsidR="00182E41" w:rsidRPr="00FC0285">
        <w:rPr>
          <w:szCs w:val="24"/>
        </w:rPr>
        <w:t>s foreign direct investment has been on the high tech</w:t>
      </w:r>
      <w:r w:rsidR="00423E9A">
        <w:rPr>
          <w:szCs w:val="24"/>
        </w:rPr>
        <w:t>,</w:t>
      </w:r>
      <w:r w:rsidR="00751978" w:rsidRPr="00FC0285">
        <w:rPr>
          <w:szCs w:val="24"/>
        </w:rPr>
        <w:t xml:space="preserve"> which signif</w:t>
      </w:r>
      <w:r w:rsidR="00423E9A">
        <w:rPr>
          <w:szCs w:val="24"/>
        </w:rPr>
        <w:t>ies</w:t>
      </w:r>
      <w:r w:rsidR="00751978" w:rsidRPr="00FC0285">
        <w:rPr>
          <w:szCs w:val="24"/>
        </w:rPr>
        <w:t xml:space="preserve"> the country</w:t>
      </w:r>
      <w:r w:rsidR="00FC0285">
        <w:rPr>
          <w:szCs w:val="24"/>
        </w:rPr>
        <w:t>'</w:t>
      </w:r>
      <w:r w:rsidR="00751978" w:rsidRPr="00FC0285">
        <w:rPr>
          <w:szCs w:val="24"/>
        </w:rPr>
        <w:t>s</w:t>
      </w:r>
      <w:r w:rsidR="00C07D35" w:rsidRPr="00FC0285">
        <w:rPr>
          <w:szCs w:val="24"/>
        </w:rPr>
        <w:t xml:space="preserve"> development in the sector. </w:t>
      </w:r>
      <w:r w:rsidR="00BF6D77" w:rsidRPr="00FC0285">
        <w:rPr>
          <w:szCs w:val="24"/>
        </w:rPr>
        <w:t xml:space="preserve">Foreign direct investments </w:t>
      </w:r>
      <w:r w:rsidR="00893418" w:rsidRPr="00FC0285">
        <w:rPr>
          <w:szCs w:val="24"/>
        </w:rPr>
        <w:t>signify</w:t>
      </w:r>
      <w:r w:rsidR="00BF6D77" w:rsidRPr="00FC0285">
        <w:rPr>
          <w:szCs w:val="24"/>
        </w:rPr>
        <w:t xml:space="preserve"> foreign investor confidence in the business and geopolitical environment of the host country. </w:t>
      </w:r>
      <w:r w:rsidR="00544663" w:rsidRPr="00FC0285">
        <w:rPr>
          <w:szCs w:val="24"/>
        </w:rPr>
        <w:lastRenderedPageBreak/>
        <w:t>Additionally, foreign direct investment links national economies</w:t>
      </w:r>
      <w:r w:rsidR="00423E9A">
        <w:rPr>
          <w:szCs w:val="24"/>
        </w:rPr>
        <w:t>,</w:t>
      </w:r>
      <w:r w:rsidR="00544663" w:rsidRPr="00FC0285">
        <w:rPr>
          <w:szCs w:val="24"/>
        </w:rPr>
        <w:t xml:space="preserve"> therefore, </w:t>
      </w:r>
      <w:r w:rsidR="00893418" w:rsidRPr="00FC0285">
        <w:rPr>
          <w:szCs w:val="24"/>
        </w:rPr>
        <w:t xml:space="preserve">benefiting foreign investors and the country. </w:t>
      </w:r>
    </w:p>
    <w:p w:rsidR="00C31A36" w:rsidRPr="00FC0285" w:rsidRDefault="00C31A36" w:rsidP="000C4E81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Foreign Exchange Reserves</w:t>
      </w:r>
    </w:p>
    <w:p w:rsidR="00C31A36" w:rsidRPr="00FC0285" w:rsidRDefault="00C31A36" w:rsidP="006342A1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1B70FA" w:rsidRPr="00FC0285">
        <w:rPr>
          <w:szCs w:val="24"/>
        </w:rPr>
        <w:t xml:space="preserve">These are monetary assets or other reserve assets such as gold that </w:t>
      </w:r>
      <w:r w:rsidR="00423E9A">
        <w:rPr>
          <w:szCs w:val="24"/>
        </w:rPr>
        <w:t>the central bank holds</w:t>
      </w:r>
      <w:r w:rsidR="001B70FA" w:rsidRPr="00FC0285">
        <w:rPr>
          <w:szCs w:val="24"/>
        </w:rPr>
        <w:t>. Foreign exchange reserves are available to the country</w:t>
      </w:r>
      <w:r w:rsidR="00FC0285">
        <w:rPr>
          <w:szCs w:val="24"/>
        </w:rPr>
        <w:t>'</w:t>
      </w:r>
      <w:r w:rsidR="001B70FA" w:rsidRPr="00FC0285">
        <w:rPr>
          <w:szCs w:val="24"/>
        </w:rPr>
        <w:t>s balance of payments and influence foreign exchange rates of the country</w:t>
      </w:r>
      <w:r w:rsidR="00D84700" w:rsidRPr="00FC0285">
        <w:rPr>
          <w:szCs w:val="24"/>
        </w:rPr>
        <w:t xml:space="preserve"> in addition to maintaining confidence in the country</w:t>
      </w:r>
      <w:r w:rsidR="00FC0285">
        <w:rPr>
          <w:szCs w:val="24"/>
        </w:rPr>
        <w:t>'</w:t>
      </w:r>
      <w:r w:rsidR="00D84700" w:rsidRPr="00FC0285">
        <w:rPr>
          <w:szCs w:val="24"/>
        </w:rPr>
        <w:t xml:space="preserve">s financial markets. </w:t>
      </w:r>
      <w:r w:rsidR="00C41F14" w:rsidRPr="00FC0285">
        <w:rPr>
          <w:szCs w:val="24"/>
        </w:rPr>
        <w:t>China had minimal foreign exchange reserves in the years before the economic reforms of 1979 due to small imports and exports. However, they were enough to cover the country</w:t>
      </w:r>
      <w:r w:rsidR="00FC0285">
        <w:rPr>
          <w:szCs w:val="24"/>
        </w:rPr>
        <w:t>'</w:t>
      </w:r>
      <w:r w:rsidR="00C41F14" w:rsidRPr="00FC0285">
        <w:rPr>
          <w:szCs w:val="24"/>
        </w:rPr>
        <w:t>s financial requirements</w:t>
      </w:r>
      <w:r w:rsidR="00700DA2" w:rsidRPr="00FC0285">
        <w:rPr>
          <w:szCs w:val="24"/>
        </w:rPr>
        <w:t>. The economic reforms enhanced China</w:t>
      </w:r>
      <w:r w:rsidR="00FC0285">
        <w:rPr>
          <w:szCs w:val="24"/>
        </w:rPr>
        <w:t>'</w:t>
      </w:r>
      <w:r w:rsidR="00700DA2" w:rsidRPr="00FC0285">
        <w:rPr>
          <w:szCs w:val="24"/>
        </w:rPr>
        <w:t>s international business environment</w:t>
      </w:r>
      <w:r w:rsidR="00423E9A">
        <w:rPr>
          <w:szCs w:val="24"/>
        </w:rPr>
        <w:t>,</w:t>
      </w:r>
      <w:r w:rsidR="00700DA2" w:rsidRPr="00FC0285">
        <w:rPr>
          <w:szCs w:val="24"/>
        </w:rPr>
        <w:t xml:space="preserve"> which increased imports and exports</w:t>
      </w:r>
      <w:r w:rsidR="00423E9A">
        <w:rPr>
          <w:szCs w:val="24"/>
        </w:rPr>
        <w:t>,</w:t>
      </w:r>
      <w:r w:rsidR="00700DA2" w:rsidRPr="00FC0285">
        <w:rPr>
          <w:szCs w:val="24"/>
        </w:rPr>
        <w:t xml:space="preserve"> contributing to the </w:t>
      </w:r>
      <w:r w:rsidR="00AE0449" w:rsidRPr="00FC0285">
        <w:rPr>
          <w:szCs w:val="24"/>
        </w:rPr>
        <w:t xml:space="preserve">increase in foreign exchange reserves. </w:t>
      </w:r>
      <w:r w:rsidR="00B54A54" w:rsidRPr="00FC0285">
        <w:rPr>
          <w:szCs w:val="24"/>
        </w:rPr>
        <w:t>Over the past couple of years, China</w:t>
      </w:r>
      <w:r w:rsidR="00FC0285">
        <w:rPr>
          <w:szCs w:val="24"/>
        </w:rPr>
        <w:t>'</w:t>
      </w:r>
      <w:r w:rsidR="00B54A54" w:rsidRPr="00FC0285">
        <w:rPr>
          <w:szCs w:val="24"/>
        </w:rPr>
        <w:t xml:space="preserve">s foreign exchange reserves have been relatively stable. </w:t>
      </w:r>
      <w:r w:rsidR="00AE0449" w:rsidRPr="00FC0285">
        <w:rPr>
          <w:szCs w:val="24"/>
        </w:rPr>
        <w:t>In 2020, China</w:t>
      </w:r>
      <w:r w:rsidR="00FC0285">
        <w:rPr>
          <w:szCs w:val="24"/>
        </w:rPr>
        <w:t>'</w:t>
      </w:r>
      <w:r w:rsidR="00423E9A">
        <w:rPr>
          <w:szCs w:val="24"/>
        </w:rPr>
        <w:t>s</w:t>
      </w:r>
      <w:r w:rsidR="00AE0449" w:rsidRPr="00FC0285">
        <w:rPr>
          <w:szCs w:val="24"/>
        </w:rPr>
        <w:t xml:space="preserve"> foreign exchange reserves </w:t>
      </w:r>
      <w:r w:rsidR="00E32126" w:rsidRPr="00FC0285">
        <w:rPr>
          <w:szCs w:val="24"/>
        </w:rPr>
        <w:t>were</w:t>
      </w:r>
      <w:r w:rsidR="00AE0449" w:rsidRPr="00FC0285">
        <w:rPr>
          <w:szCs w:val="24"/>
        </w:rPr>
        <w:t xml:space="preserve"> $3.2 trillion dollars</w:t>
      </w:r>
      <w:r w:rsidR="00456F38" w:rsidRPr="00FC0285">
        <w:rPr>
          <w:szCs w:val="24"/>
        </w:rPr>
        <w:t xml:space="preserve"> which is the largest in the world. </w:t>
      </w:r>
      <w:r w:rsidR="00CB7FF0" w:rsidRPr="00FC0285">
        <w:rPr>
          <w:szCs w:val="24"/>
        </w:rPr>
        <w:t>This means that the country has enough backup funds and asse</w:t>
      </w:r>
      <w:r w:rsidR="008E043F" w:rsidRPr="00FC0285">
        <w:rPr>
          <w:szCs w:val="24"/>
        </w:rPr>
        <w:t xml:space="preserve">ts to cover their economy if their national currency devalues or becomes insolvent. </w:t>
      </w:r>
    </w:p>
    <w:p w:rsidR="00713FF1" w:rsidRPr="00FC0285" w:rsidRDefault="00713FF1" w:rsidP="00AF6BF8">
      <w:pPr>
        <w:spacing w:after="0" w:line="480" w:lineRule="auto"/>
        <w:jc w:val="center"/>
        <w:rPr>
          <w:szCs w:val="24"/>
        </w:rPr>
      </w:pPr>
      <w:r w:rsidRPr="00FC0285">
        <w:rPr>
          <w:noProof/>
          <w:szCs w:val="24"/>
        </w:rPr>
        <w:drawing>
          <wp:inline distT="0" distB="0" distL="0" distR="0">
            <wp:extent cx="3000375" cy="2209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44E" w:rsidRPr="00FC0285" w:rsidRDefault="00DD044E" w:rsidP="000C4E81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Inflation Rates</w:t>
      </w:r>
    </w:p>
    <w:p w:rsidR="00DD044E" w:rsidRPr="00FC0285" w:rsidRDefault="00DD044E" w:rsidP="006342A1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B408B4" w:rsidRPr="00FC0285">
        <w:rPr>
          <w:szCs w:val="24"/>
        </w:rPr>
        <w:t xml:space="preserve">This is the general rise in </w:t>
      </w:r>
      <w:r w:rsidR="00423E9A">
        <w:rPr>
          <w:szCs w:val="24"/>
        </w:rPr>
        <w:t xml:space="preserve">the </w:t>
      </w:r>
      <w:r w:rsidR="00B408B4" w:rsidRPr="00FC0285">
        <w:rPr>
          <w:szCs w:val="24"/>
        </w:rPr>
        <w:t xml:space="preserve">prices of goods and services that </w:t>
      </w:r>
      <w:r w:rsidR="004747AF" w:rsidRPr="00FC0285">
        <w:rPr>
          <w:szCs w:val="24"/>
        </w:rPr>
        <w:t xml:space="preserve">consumers buy. </w:t>
      </w:r>
      <w:r w:rsidR="00C01B1E" w:rsidRPr="00FC0285">
        <w:rPr>
          <w:szCs w:val="24"/>
        </w:rPr>
        <w:t xml:space="preserve">As </w:t>
      </w:r>
      <w:r w:rsidR="00423E9A">
        <w:rPr>
          <w:szCs w:val="24"/>
        </w:rPr>
        <w:t>of</w:t>
      </w:r>
      <w:r w:rsidR="00C01B1E" w:rsidRPr="00FC0285">
        <w:rPr>
          <w:szCs w:val="24"/>
        </w:rPr>
        <w:t xml:space="preserve"> April 2021, </w:t>
      </w:r>
      <w:r w:rsidR="007E01C9" w:rsidRPr="00FC0285">
        <w:rPr>
          <w:szCs w:val="24"/>
        </w:rPr>
        <w:t xml:space="preserve">World Bank data shows that </w:t>
      </w:r>
      <w:r w:rsidR="00C01B1E" w:rsidRPr="00FC0285">
        <w:rPr>
          <w:szCs w:val="24"/>
        </w:rPr>
        <w:t>China</w:t>
      </w:r>
      <w:r w:rsidR="00FC0285">
        <w:rPr>
          <w:szCs w:val="24"/>
        </w:rPr>
        <w:t>'</w:t>
      </w:r>
      <w:r w:rsidR="00C01B1E" w:rsidRPr="00FC0285">
        <w:rPr>
          <w:szCs w:val="24"/>
        </w:rPr>
        <w:t>s inflation rat</w:t>
      </w:r>
      <w:r w:rsidR="00C83C33" w:rsidRPr="00FC0285">
        <w:rPr>
          <w:szCs w:val="24"/>
        </w:rPr>
        <w:t>es</w:t>
      </w:r>
      <w:r w:rsidR="007E01C9" w:rsidRPr="00FC0285">
        <w:rPr>
          <w:szCs w:val="24"/>
        </w:rPr>
        <w:t>were</w:t>
      </w:r>
      <w:r w:rsidR="00C01B1E" w:rsidRPr="00FC0285">
        <w:rPr>
          <w:szCs w:val="24"/>
        </w:rPr>
        <w:t xml:space="preserve"> 1.</w:t>
      </w:r>
      <w:r w:rsidR="00F10C47" w:rsidRPr="00FC0285">
        <w:rPr>
          <w:szCs w:val="24"/>
        </w:rPr>
        <w:t>2</w:t>
      </w:r>
      <w:r w:rsidR="00C01B1E" w:rsidRPr="00FC0285">
        <w:rPr>
          <w:szCs w:val="24"/>
        </w:rPr>
        <w:t>%</w:t>
      </w:r>
      <w:r w:rsidR="00423E9A">
        <w:rPr>
          <w:szCs w:val="24"/>
        </w:rPr>
        <w:t>,</w:t>
      </w:r>
      <w:r w:rsidR="00C01B1E" w:rsidRPr="00FC0285">
        <w:rPr>
          <w:szCs w:val="24"/>
        </w:rPr>
        <w:t xml:space="preserve"> a </w:t>
      </w:r>
      <w:r w:rsidR="00DE3580" w:rsidRPr="00FC0285">
        <w:rPr>
          <w:szCs w:val="24"/>
        </w:rPr>
        <w:t xml:space="preserve">steady fall from </w:t>
      </w:r>
      <w:r w:rsidR="00DE3580" w:rsidRPr="00FC0285">
        <w:rPr>
          <w:szCs w:val="24"/>
        </w:rPr>
        <w:lastRenderedPageBreak/>
        <w:t xml:space="preserve">2.5% at the end of 2020. The decrease in inflation rates is a result of the fall </w:t>
      </w:r>
      <w:r w:rsidR="00423E9A">
        <w:rPr>
          <w:szCs w:val="24"/>
        </w:rPr>
        <w:t>in</w:t>
      </w:r>
      <w:r w:rsidR="00DE3580" w:rsidRPr="00FC0285">
        <w:rPr>
          <w:szCs w:val="24"/>
        </w:rPr>
        <w:t xml:space="preserve"> prices for goods and services</w:t>
      </w:r>
      <w:r w:rsidR="00423E9A">
        <w:rPr>
          <w:szCs w:val="24"/>
        </w:rPr>
        <w:t>,</w:t>
      </w:r>
      <w:r w:rsidR="00DE3580" w:rsidRPr="00FC0285">
        <w:rPr>
          <w:szCs w:val="24"/>
        </w:rPr>
        <w:t xml:space="preserve"> which encourage households to spend more. </w:t>
      </w:r>
      <w:r w:rsidR="00CE1B7F" w:rsidRPr="00FC0285">
        <w:rPr>
          <w:szCs w:val="24"/>
        </w:rPr>
        <w:t xml:space="preserve">The increase in spending helps the economy to recover its </w:t>
      </w:r>
      <w:r w:rsidR="00E56E1A" w:rsidRPr="00FC0285">
        <w:rPr>
          <w:szCs w:val="24"/>
        </w:rPr>
        <w:t>declining exports that ha</w:t>
      </w:r>
      <w:r w:rsidR="00423E9A">
        <w:rPr>
          <w:szCs w:val="24"/>
        </w:rPr>
        <w:t>ve</w:t>
      </w:r>
      <w:r w:rsidR="00E56E1A" w:rsidRPr="00FC0285">
        <w:rPr>
          <w:szCs w:val="24"/>
        </w:rPr>
        <w:t xml:space="preserve"> mainly been contributed to by the covid-19 pandemic.</w:t>
      </w:r>
    </w:p>
    <w:p w:rsidR="005820DD" w:rsidRPr="00FC0285" w:rsidRDefault="005820DD" w:rsidP="000C4E81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t>Type of Currency Regimes</w:t>
      </w:r>
    </w:p>
    <w:p w:rsidR="005820DD" w:rsidRPr="00FC0285" w:rsidRDefault="005820DD" w:rsidP="006342A1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FE4020" w:rsidRPr="00FC0285">
        <w:rPr>
          <w:szCs w:val="24"/>
        </w:rPr>
        <w:t>An exchange rate regime refers to the way the currency union or monetary authority managers the country</w:t>
      </w:r>
      <w:r w:rsidR="00FC0285">
        <w:rPr>
          <w:szCs w:val="24"/>
        </w:rPr>
        <w:t>'</w:t>
      </w:r>
      <w:r w:rsidR="00FE4020" w:rsidRPr="00FC0285">
        <w:rPr>
          <w:szCs w:val="24"/>
        </w:rPr>
        <w:t xml:space="preserve">s currency </w:t>
      </w:r>
      <w:r w:rsidR="00673861" w:rsidRPr="00FC0285">
        <w:rPr>
          <w:szCs w:val="24"/>
        </w:rPr>
        <w:t xml:space="preserve">in connection with the foreign exchange market and other currencies. </w:t>
      </w:r>
      <w:r w:rsidR="008A3794" w:rsidRPr="00FC0285">
        <w:rPr>
          <w:szCs w:val="24"/>
        </w:rPr>
        <w:t>China</w:t>
      </w:r>
      <w:r w:rsidR="00FC0285">
        <w:rPr>
          <w:szCs w:val="24"/>
        </w:rPr>
        <w:t>'</w:t>
      </w:r>
      <w:r w:rsidR="008A3794" w:rsidRPr="00FC0285">
        <w:rPr>
          <w:szCs w:val="24"/>
        </w:rPr>
        <w:t>s economic policy is based on the fundamental aspect of managing its currency exchange rate to benefits or enhance its exports</w:t>
      </w:r>
      <w:r w:rsidR="00636BCB" w:rsidRPr="00FC0285">
        <w:rPr>
          <w:szCs w:val="24"/>
        </w:rPr>
        <w:t xml:space="preserve"> (Das, 2019)</w:t>
      </w:r>
      <w:r w:rsidR="008A3794" w:rsidRPr="00FC0285">
        <w:rPr>
          <w:szCs w:val="24"/>
        </w:rPr>
        <w:t xml:space="preserve">. </w:t>
      </w:r>
      <w:r w:rsidR="008A3A7C" w:rsidRPr="00FC0285">
        <w:rPr>
          <w:szCs w:val="24"/>
        </w:rPr>
        <w:t xml:space="preserve">China has a pegged currency regime where it pegs the yuan </w:t>
      </w:r>
      <w:r w:rsidR="00117087" w:rsidRPr="00FC0285">
        <w:rPr>
          <w:szCs w:val="24"/>
        </w:rPr>
        <w:t>to the U.S. dollars at a daily reference rate. China undervalues it</w:t>
      </w:r>
      <w:r w:rsidR="00423E9A">
        <w:rPr>
          <w:szCs w:val="24"/>
        </w:rPr>
        <w:t>s</w:t>
      </w:r>
      <w:r w:rsidR="00117087" w:rsidRPr="00FC0285">
        <w:rPr>
          <w:szCs w:val="24"/>
        </w:rPr>
        <w:t xml:space="preserve"> currency</w:t>
      </w:r>
      <w:r w:rsidR="00423E9A">
        <w:rPr>
          <w:szCs w:val="24"/>
        </w:rPr>
        <w:t>,</w:t>
      </w:r>
      <w:r w:rsidR="00117087" w:rsidRPr="00FC0285">
        <w:rPr>
          <w:szCs w:val="24"/>
        </w:rPr>
        <w:t xml:space="preserve"> therefore, making its exports more competitive.</w:t>
      </w:r>
    </w:p>
    <w:p w:rsidR="007F5522" w:rsidRPr="00FC0285" w:rsidRDefault="007F5522" w:rsidP="00AF6BF8">
      <w:pPr>
        <w:spacing w:after="0" w:line="480" w:lineRule="auto"/>
        <w:jc w:val="center"/>
        <w:rPr>
          <w:szCs w:val="24"/>
        </w:rPr>
      </w:pPr>
      <w:r w:rsidRPr="00FC0285">
        <w:rPr>
          <w:noProof/>
          <w:szCs w:val="24"/>
        </w:rPr>
        <w:drawing>
          <wp:inline distT="0" distB="0" distL="0" distR="0">
            <wp:extent cx="3457575" cy="2486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D52" w:rsidRPr="00FC0285" w:rsidRDefault="00D33D52" w:rsidP="00511B17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t>Monetary Unions</w:t>
      </w:r>
    </w:p>
    <w:p w:rsidR="00D33D52" w:rsidRPr="00FC0285" w:rsidRDefault="00D33D52" w:rsidP="006342A1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AE4A01" w:rsidRPr="00FC0285">
        <w:rPr>
          <w:szCs w:val="24"/>
        </w:rPr>
        <w:t>A monetary union also referred to as a currency union</w:t>
      </w:r>
      <w:r w:rsidR="00423E9A">
        <w:rPr>
          <w:szCs w:val="24"/>
        </w:rPr>
        <w:t>,</w:t>
      </w:r>
      <w:r w:rsidR="00AE4A01" w:rsidRPr="00FC0285">
        <w:rPr>
          <w:szCs w:val="24"/>
        </w:rPr>
        <w:t xml:space="preserve"> is an intergovernmental agreement involving two or more states or countries that share the same currency. </w:t>
      </w:r>
      <w:r w:rsidR="00E3208E" w:rsidRPr="00FC0285">
        <w:rPr>
          <w:szCs w:val="24"/>
        </w:rPr>
        <w:t>China is not part of a monetary union as most Asian countries use different currencies. In China alone</w:t>
      </w:r>
      <w:r w:rsidR="00423E9A">
        <w:rPr>
          <w:szCs w:val="24"/>
        </w:rPr>
        <w:t>,</w:t>
      </w:r>
      <w:r w:rsidR="00E3208E" w:rsidRPr="00FC0285">
        <w:rPr>
          <w:szCs w:val="24"/>
        </w:rPr>
        <w:t xml:space="preserve"> there are four </w:t>
      </w:r>
      <w:r w:rsidR="00E3208E" w:rsidRPr="00FC0285">
        <w:rPr>
          <w:szCs w:val="24"/>
        </w:rPr>
        <w:lastRenderedPageBreak/>
        <w:t>currencies</w:t>
      </w:r>
      <w:r w:rsidR="00423E9A">
        <w:rPr>
          <w:szCs w:val="24"/>
        </w:rPr>
        <w:t>,</w:t>
      </w:r>
      <w:r w:rsidR="00E3208E" w:rsidRPr="00FC0285">
        <w:rPr>
          <w:szCs w:val="24"/>
        </w:rPr>
        <w:t xml:space="preserve"> including Hong Kong, Mainland China, Macao</w:t>
      </w:r>
      <w:r w:rsidR="00423E9A">
        <w:rPr>
          <w:szCs w:val="24"/>
        </w:rPr>
        <w:t>,</w:t>
      </w:r>
      <w:r w:rsidR="00E3208E" w:rsidRPr="00FC0285">
        <w:rPr>
          <w:szCs w:val="24"/>
        </w:rPr>
        <w:t xml:space="preserve"> and Taiwan. </w:t>
      </w:r>
      <w:r w:rsidR="00026589" w:rsidRPr="00FC0285">
        <w:rPr>
          <w:szCs w:val="24"/>
        </w:rPr>
        <w:t xml:space="preserve">The construction of a monetary union covering these regions will be critical to achieving currency internalization. </w:t>
      </w:r>
    </w:p>
    <w:p w:rsidR="00E875F3" w:rsidRPr="00FC0285" w:rsidRDefault="00043C35" w:rsidP="00511B17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t>Political Factors</w:t>
      </w:r>
    </w:p>
    <w:p w:rsidR="00043C35" w:rsidRPr="00FC0285" w:rsidRDefault="00043C35" w:rsidP="006B4E2F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Political risk</w:t>
      </w:r>
    </w:p>
    <w:p w:rsidR="00043C35" w:rsidRPr="00FC0285" w:rsidRDefault="00043C35" w:rsidP="006B4E2F">
      <w:pPr>
        <w:spacing w:after="0" w:line="480" w:lineRule="auto"/>
        <w:rPr>
          <w:szCs w:val="24"/>
        </w:rPr>
      </w:pPr>
      <w:r w:rsidRPr="00FC0285">
        <w:rPr>
          <w:b/>
          <w:bCs/>
          <w:szCs w:val="24"/>
        </w:rPr>
        <w:tab/>
      </w:r>
      <w:r w:rsidRPr="00FC0285">
        <w:rPr>
          <w:szCs w:val="24"/>
        </w:rPr>
        <w:t xml:space="preserve">Political risk refers </w:t>
      </w:r>
      <w:r w:rsidR="004177D0" w:rsidRPr="00FC0285">
        <w:rPr>
          <w:szCs w:val="24"/>
        </w:rPr>
        <w:t>to the type of risk faced by busines</w:t>
      </w:r>
      <w:r w:rsidR="00423E9A">
        <w:rPr>
          <w:szCs w:val="24"/>
        </w:rPr>
        <w:t>se</w:t>
      </w:r>
      <w:r w:rsidR="004177D0" w:rsidRPr="00FC0285">
        <w:rPr>
          <w:szCs w:val="24"/>
        </w:rPr>
        <w:t>s or investors due to political conditions, decisions</w:t>
      </w:r>
      <w:r w:rsidR="00423E9A">
        <w:rPr>
          <w:szCs w:val="24"/>
        </w:rPr>
        <w:t>,</w:t>
      </w:r>
      <w:r w:rsidR="004177D0" w:rsidRPr="00FC0285">
        <w:rPr>
          <w:szCs w:val="24"/>
        </w:rPr>
        <w:t xml:space="preserve"> or events. </w:t>
      </w:r>
      <w:r w:rsidR="004A062A" w:rsidRPr="00FC0285">
        <w:rPr>
          <w:szCs w:val="24"/>
        </w:rPr>
        <w:t>It is the government</w:t>
      </w:r>
      <w:r w:rsidR="00FC0285">
        <w:rPr>
          <w:szCs w:val="24"/>
        </w:rPr>
        <w:t>'</w:t>
      </w:r>
      <w:r w:rsidR="004A062A" w:rsidRPr="00FC0285">
        <w:rPr>
          <w:szCs w:val="24"/>
        </w:rPr>
        <w:t xml:space="preserve">s interference in foreign businesses which can have a significant impact on the profitability and success of the business. </w:t>
      </w:r>
      <w:r w:rsidR="004750ED" w:rsidRPr="00FC0285">
        <w:rPr>
          <w:szCs w:val="24"/>
        </w:rPr>
        <w:t>Political risk for foreign businesses come</w:t>
      </w:r>
      <w:r w:rsidR="00423E9A">
        <w:rPr>
          <w:szCs w:val="24"/>
        </w:rPr>
        <w:t>s</w:t>
      </w:r>
      <w:r w:rsidR="004750ED" w:rsidRPr="00FC0285">
        <w:rPr>
          <w:szCs w:val="24"/>
        </w:rPr>
        <w:t xml:space="preserve"> in various forms ranging from </w:t>
      </w:r>
      <w:r w:rsidR="00423E9A">
        <w:rPr>
          <w:szCs w:val="24"/>
        </w:rPr>
        <w:t xml:space="preserve">the </w:t>
      </w:r>
      <w:r w:rsidR="004750ED" w:rsidRPr="00FC0285">
        <w:rPr>
          <w:szCs w:val="24"/>
        </w:rPr>
        <w:t xml:space="preserve">nationalization of businesses to contract repudiation. </w:t>
      </w:r>
      <w:r w:rsidR="00B26FCE" w:rsidRPr="00FC0285">
        <w:rPr>
          <w:szCs w:val="24"/>
        </w:rPr>
        <w:t>While most countries of the world have a stable government with clear rule</w:t>
      </w:r>
      <w:r w:rsidR="00423E9A">
        <w:rPr>
          <w:szCs w:val="24"/>
        </w:rPr>
        <w:t>s</w:t>
      </w:r>
      <w:r w:rsidR="00B26FCE" w:rsidRPr="00FC0285">
        <w:rPr>
          <w:szCs w:val="24"/>
        </w:rPr>
        <w:t xml:space="preserve"> and regulations guiding them, that is not the case in other countries such as China</w:t>
      </w:r>
      <w:r w:rsidR="006A2615" w:rsidRPr="00FC0285">
        <w:rPr>
          <w:szCs w:val="24"/>
        </w:rPr>
        <w:t xml:space="preserve"> who are uncertain with respect to political risk</w:t>
      </w:r>
      <w:r w:rsidR="00641328" w:rsidRPr="00FC0285">
        <w:rPr>
          <w:szCs w:val="24"/>
        </w:rPr>
        <w:t xml:space="preserve"> (</w:t>
      </w:r>
      <w:r w:rsidR="00641328" w:rsidRPr="00FC0285">
        <w:rPr>
          <w:color w:val="222222"/>
          <w:szCs w:val="24"/>
          <w:shd w:val="clear" w:color="auto" w:fill="FFFFFF"/>
        </w:rPr>
        <w:t>Luo, Chen &amp; Wu, 2017)</w:t>
      </w:r>
      <w:r w:rsidR="006A2615" w:rsidRPr="00FC0285">
        <w:rPr>
          <w:szCs w:val="24"/>
        </w:rPr>
        <w:t xml:space="preserve">. </w:t>
      </w:r>
      <w:r w:rsidR="00AB3430" w:rsidRPr="00FC0285">
        <w:rPr>
          <w:szCs w:val="24"/>
        </w:rPr>
        <w:t>In China</w:t>
      </w:r>
      <w:r w:rsidR="00423E9A">
        <w:rPr>
          <w:szCs w:val="24"/>
        </w:rPr>
        <w:t>,</w:t>
      </w:r>
      <w:r w:rsidR="00AB3430" w:rsidRPr="00FC0285">
        <w:rPr>
          <w:szCs w:val="24"/>
        </w:rPr>
        <w:t xml:space="preserve"> there is a possibility of </w:t>
      </w:r>
      <w:r w:rsidR="00423E9A">
        <w:rPr>
          <w:szCs w:val="24"/>
        </w:rPr>
        <w:t xml:space="preserve">the </w:t>
      </w:r>
      <w:r w:rsidR="00AB3430" w:rsidRPr="00FC0285">
        <w:rPr>
          <w:szCs w:val="24"/>
        </w:rPr>
        <w:t>nationalization of businesses and industries.</w:t>
      </w:r>
      <w:r w:rsidR="0056028C" w:rsidRPr="00FC0285">
        <w:rPr>
          <w:szCs w:val="24"/>
        </w:rPr>
        <w:t xml:space="preserve"> In fact, it is a </w:t>
      </w:r>
      <w:r w:rsidR="00DD5A87" w:rsidRPr="00FC0285">
        <w:rPr>
          <w:szCs w:val="24"/>
        </w:rPr>
        <w:t>phenomenon</w:t>
      </w:r>
      <w:r w:rsidR="0056028C" w:rsidRPr="00FC0285">
        <w:rPr>
          <w:szCs w:val="24"/>
        </w:rPr>
        <w:t xml:space="preserve"> that already occurred in 1949 when the government </w:t>
      </w:r>
      <w:r w:rsidR="005A6910" w:rsidRPr="00FC0285">
        <w:rPr>
          <w:szCs w:val="24"/>
        </w:rPr>
        <w:t>took control of privately owned foreign businesses and industries without compensation.</w:t>
      </w:r>
      <w:r w:rsidR="00E57949" w:rsidRPr="00FC0285">
        <w:rPr>
          <w:szCs w:val="24"/>
        </w:rPr>
        <w:t xml:space="preserve"> Additionally, there are risks of contract repudiation, confiscation, currency inconvertibility</w:t>
      </w:r>
      <w:r w:rsidR="00423E9A">
        <w:rPr>
          <w:szCs w:val="24"/>
        </w:rPr>
        <w:t>,</w:t>
      </w:r>
      <w:r w:rsidR="00E57949" w:rsidRPr="00FC0285">
        <w:rPr>
          <w:szCs w:val="24"/>
        </w:rPr>
        <w:t xml:space="preserve"> and expropriation. </w:t>
      </w:r>
      <w:r w:rsidR="00C35C2B" w:rsidRPr="00FC0285">
        <w:rPr>
          <w:szCs w:val="24"/>
        </w:rPr>
        <w:t xml:space="preserve">Currency devaluation and inflation </w:t>
      </w:r>
      <w:r w:rsidR="00901308" w:rsidRPr="00FC0285">
        <w:rPr>
          <w:szCs w:val="24"/>
        </w:rPr>
        <w:t>are potential problem</w:t>
      </w:r>
      <w:r w:rsidR="00423E9A">
        <w:rPr>
          <w:szCs w:val="24"/>
        </w:rPr>
        <w:t>s</w:t>
      </w:r>
      <w:r w:rsidR="00901308" w:rsidRPr="00FC0285">
        <w:rPr>
          <w:szCs w:val="24"/>
        </w:rPr>
        <w:t xml:space="preserve"> in many countries</w:t>
      </w:r>
      <w:r w:rsidR="00423E9A">
        <w:rPr>
          <w:szCs w:val="24"/>
        </w:rPr>
        <w:t>,</w:t>
      </w:r>
      <w:r w:rsidR="00901308" w:rsidRPr="00FC0285">
        <w:rPr>
          <w:szCs w:val="24"/>
        </w:rPr>
        <w:t xml:space="preserve"> therefore, affecting insurance limits adequacy.</w:t>
      </w:r>
      <w:r w:rsidR="00DD5A87" w:rsidRPr="00FC0285">
        <w:rPr>
          <w:szCs w:val="24"/>
        </w:rPr>
        <w:t xml:space="preserve"> The continuous battle between China</w:t>
      </w:r>
      <w:r w:rsidR="00FC0285">
        <w:rPr>
          <w:szCs w:val="24"/>
        </w:rPr>
        <w:t>'</w:t>
      </w:r>
      <w:r w:rsidR="00DD5A87" w:rsidRPr="00FC0285">
        <w:rPr>
          <w:szCs w:val="24"/>
        </w:rPr>
        <w:t xml:space="preserve">s central government and the local and provincial governments over </w:t>
      </w:r>
      <w:r w:rsidR="007023FB" w:rsidRPr="00FC0285">
        <w:rPr>
          <w:szCs w:val="24"/>
        </w:rPr>
        <w:t>relevant law and their observance or non-observance can be challenging for foreign businesses and investors operating or willing to invest in China to know the applicable laws</w:t>
      </w:r>
      <w:r w:rsidR="001771B2" w:rsidRPr="00FC0285">
        <w:rPr>
          <w:szCs w:val="24"/>
        </w:rPr>
        <w:t xml:space="preserve"> (</w:t>
      </w:r>
      <w:r w:rsidR="001771B2" w:rsidRPr="00FC0285">
        <w:rPr>
          <w:color w:val="222222"/>
          <w:szCs w:val="24"/>
          <w:shd w:val="clear" w:color="auto" w:fill="FFFFFF"/>
        </w:rPr>
        <w:t>Luo, Chen &amp; Wu, 2017</w:t>
      </w:r>
      <w:r w:rsidR="001771B2" w:rsidRPr="00FC0285">
        <w:rPr>
          <w:szCs w:val="24"/>
        </w:rPr>
        <w:t>)</w:t>
      </w:r>
      <w:r w:rsidR="007023FB" w:rsidRPr="00FC0285">
        <w:rPr>
          <w:szCs w:val="24"/>
        </w:rPr>
        <w:t>.</w:t>
      </w:r>
    </w:p>
    <w:p w:rsidR="000E4642" w:rsidRPr="00FC0285" w:rsidRDefault="000E4642" w:rsidP="006B4E2F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Governance in China</w:t>
      </w:r>
    </w:p>
    <w:p w:rsidR="000E4642" w:rsidRPr="00FC0285" w:rsidRDefault="000E4642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5813E4" w:rsidRPr="00FC0285">
        <w:rPr>
          <w:szCs w:val="24"/>
        </w:rPr>
        <w:t>China practices a party</w:t>
      </w:r>
      <w:r w:rsidR="00423E9A">
        <w:rPr>
          <w:szCs w:val="24"/>
        </w:rPr>
        <w:t>-</w:t>
      </w:r>
      <w:r w:rsidR="005813E4" w:rsidRPr="00FC0285">
        <w:rPr>
          <w:szCs w:val="24"/>
        </w:rPr>
        <w:t xml:space="preserve">centered structure and governance system. The government </w:t>
      </w:r>
      <w:r w:rsidR="00636FC3" w:rsidRPr="00FC0285">
        <w:rPr>
          <w:szCs w:val="24"/>
        </w:rPr>
        <w:t xml:space="preserve">is made up of a system of political consultation and multi-party cooperation </w:t>
      </w:r>
      <w:r w:rsidR="003934FB" w:rsidRPr="00FC0285">
        <w:rPr>
          <w:szCs w:val="24"/>
        </w:rPr>
        <w:t xml:space="preserve">under the guidance and </w:t>
      </w:r>
      <w:r w:rsidR="003934FB" w:rsidRPr="00FC0285">
        <w:rPr>
          <w:szCs w:val="24"/>
        </w:rPr>
        <w:lastRenderedPageBreak/>
        <w:t>leadership of the C</w:t>
      </w:r>
      <w:r w:rsidR="00767920" w:rsidRPr="00FC0285">
        <w:rPr>
          <w:szCs w:val="24"/>
        </w:rPr>
        <w:t xml:space="preserve">ommunist Party of China (CPC). </w:t>
      </w:r>
      <w:r w:rsidR="004431C9" w:rsidRPr="00FC0285">
        <w:rPr>
          <w:szCs w:val="24"/>
        </w:rPr>
        <w:t>The Communist Party of China is the founding and only governing political part</w:t>
      </w:r>
      <w:r w:rsidR="008451CF" w:rsidRPr="00FC0285">
        <w:rPr>
          <w:szCs w:val="24"/>
        </w:rPr>
        <w:t>y</w:t>
      </w:r>
      <w:r w:rsidR="004431C9" w:rsidRPr="00FC0285">
        <w:rPr>
          <w:szCs w:val="24"/>
        </w:rPr>
        <w:t xml:space="preserve"> of </w:t>
      </w:r>
      <w:r w:rsidR="00A24FA0" w:rsidRPr="00FC0285">
        <w:rPr>
          <w:szCs w:val="24"/>
        </w:rPr>
        <w:t>China. The</w:t>
      </w:r>
      <w:r w:rsidR="00346F35" w:rsidRPr="00FC0285">
        <w:rPr>
          <w:szCs w:val="24"/>
        </w:rPr>
        <w:t xml:space="preserve"> system ensures that it is the sole governing party in the country</w:t>
      </w:r>
      <w:r w:rsidR="00B31045" w:rsidRPr="00FC0285">
        <w:rPr>
          <w:szCs w:val="24"/>
        </w:rPr>
        <w:t xml:space="preserve"> (</w:t>
      </w:r>
      <w:r w:rsidR="00B31045" w:rsidRPr="00FC0285">
        <w:rPr>
          <w:color w:val="222222"/>
          <w:szCs w:val="24"/>
          <w:shd w:val="clear" w:color="auto" w:fill="FFFFFF"/>
        </w:rPr>
        <w:t>Jiang &amp; Kim,2020)</w:t>
      </w:r>
      <w:r w:rsidR="00346F35" w:rsidRPr="00FC0285">
        <w:rPr>
          <w:szCs w:val="24"/>
        </w:rPr>
        <w:t xml:space="preserve">. </w:t>
      </w:r>
      <w:r w:rsidR="006457AB" w:rsidRPr="00FC0285">
        <w:rPr>
          <w:szCs w:val="24"/>
        </w:rPr>
        <w:t>While China is</w:t>
      </w:r>
      <w:r w:rsidR="00D20DEF" w:rsidRPr="00FC0285">
        <w:rPr>
          <w:szCs w:val="24"/>
        </w:rPr>
        <w:t xml:space="preserve"> governed by a single political party, there is </w:t>
      </w:r>
      <w:r w:rsidR="00346F35" w:rsidRPr="00FC0285">
        <w:rPr>
          <w:szCs w:val="24"/>
        </w:rPr>
        <w:t>close cooperation between CPC and other political parties in the management of the country</w:t>
      </w:r>
      <w:r w:rsidR="00FC0285">
        <w:rPr>
          <w:szCs w:val="24"/>
        </w:rPr>
        <w:t>'</w:t>
      </w:r>
      <w:r w:rsidR="00346F35" w:rsidRPr="00FC0285">
        <w:rPr>
          <w:szCs w:val="24"/>
        </w:rPr>
        <w:t xml:space="preserve">s affairs. </w:t>
      </w:r>
    </w:p>
    <w:p w:rsidR="00445DA4" w:rsidRPr="00FC0285" w:rsidRDefault="00445DA4" w:rsidP="006B4E2F">
      <w:pPr>
        <w:spacing w:after="0" w:line="480" w:lineRule="auto"/>
        <w:rPr>
          <w:b/>
          <w:bCs/>
          <w:szCs w:val="24"/>
        </w:rPr>
      </w:pPr>
      <w:r w:rsidRPr="00FC0285">
        <w:rPr>
          <w:b/>
          <w:bCs/>
          <w:szCs w:val="24"/>
        </w:rPr>
        <w:t>Philosophy of Political Parties</w:t>
      </w:r>
    </w:p>
    <w:p w:rsidR="00445DA4" w:rsidRPr="00FC0285" w:rsidRDefault="00445DA4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CA7895" w:rsidRPr="00FC0285">
        <w:rPr>
          <w:szCs w:val="24"/>
        </w:rPr>
        <w:t>China has many political parties; however, they are under the leadership of the Communist Party of China</w:t>
      </w:r>
      <w:r w:rsidR="00423E9A">
        <w:rPr>
          <w:szCs w:val="24"/>
        </w:rPr>
        <w:t>,</w:t>
      </w:r>
      <w:r w:rsidR="00CA7895" w:rsidRPr="00FC0285">
        <w:rPr>
          <w:szCs w:val="24"/>
        </w:rPr>
        <w:t xml:space="preserve"> which is the ruling and most popular party. The country has 8 non-communist parties that corporate with CPC on state affairs and</w:t>
      </w:r>
      <w:r w:rsidR="002B1B28" w:rsidRPr="00FC0285">
        <w:rPr>
          <w:szCs w:val="24"/>
        </w:rPr>
        <w:t xml:space="preserve"> important issues. Additionally, there is a wider political consultation of all parties, representatives</w:t>
      </w:r>
      <w:r w:rsidR="00423E9A">
        <w:rPr>
          <w:szCs w:val="24"/>
        </w:rPr>
        <w:t>,</w:t>
      </w:r>
      <w:r w:rsidR="002B1B28" w:rsidRPr="00FC0285">
        <w:rPr>
          <w:szCs w:val="24"/>
        </w:rPr>
        <w:t xml:space="preserve"> and mass organizations under the leadership of CPC regarding policies and issues in cultural, economic, political</w:t>
      </w:r>
      <w:r w:rsidR="00423E9A">
        <w:rPr>
          <w:szCs w:val="24"/>
        </w:rPr>
        <w:t>,</w:t>
      </w:r>
      <w:r w:rsidR="002B1B28" w:rsidRPr="00FC0285">
        <w:rPr>
          <w:szCs w:val="24"/>
        </w:rPr>
        <w:t xml:space="preserve"> and social affairs</w:t>
      </w:r>
      <w:r w:rsidR="00E00748" w:rsidRPr="00FC0285">
        <w:rPr>
          <w:szCs w:val="24"/>
        </w:rPr>
        <w:t xml:space="preserve"> (</w:t>
      </w:r>
      <w:r w:rsidR="00E00748" w:rsidRPr="00FC0285">
        <w:rPr>
          <w:color w:val="222222"/>
          <w:szCs w:val="24"/>
          <w:shd w:val="clear" w:color="auto" w:fill="FFFFFF"/>
        </w:rPr>
        <w:t>Zhou et al., 2021)</w:t>
      </w:r>
      <w:r w:rsidR="002B1B28" w:rsidRPr="00FC0285">
        <w:rPr>
          <w:szCs w:val="24"/>
        </w:rPr>
        <w:t xml:space="preserve">. Political consultations take the Communist Party of China consultative conference form. This is the most important organization and political form of the political consultation and multi-party system. The cooperative relations and political consultations between CPC and other political parties in China </w:t>
      </w:r>
      <w:r w:rsidR="00423E9A">
        <w:rPr>
          <w:szCs w:val="24"/>
        </w:rPr>
        <w:t>are</w:t>
      </w:r>
      <w:r w:rsidR="002B1B28" w:rsidRPr="00FC0285">
        <w:rPr>
          <w:szCs w:val="24"/>
        </w:rPr>
        <w:t xml:space="preserve"> based on the fundamental principle of mutual supervision and long-term coexistence while treating each other with full respect and sincerity</w:t>
      </w:r>
      <w:r w:rsidR="00F91198" w:rsidRPr="00FC0285">
        <w:rPr>
          <w:szCs w:val="24"/>
        </w:rPr>
        <w:t xml:space="preserve"> (</w:t>
      </w:r>
      <w:r w:rsidR="00F91198" w:rsidRPr="00FC0285">
        <w:rPr>
          <w:color w:val="222222"/>
          <w:szCs w:val="24"/>
          <w:shd w:val="clear" w:color="auto" w:fill="FFFFFF"/>
        </w:rPr>
        <w:t>Peters, 2017)</w:t>
      </w:r>
      <w:r w:rsidR="002B1B28" w:rsidRPr="00FC0285">
        <w:rPr>
          <w:szCs w:val="24"/>
        </w:rPr>
        <w:t>.</w:t>
      </w:r>
    </w:p>
    <w:p w:rsidR="003209AA" w:rsidRPr="00FC0285" w:rsidRDefault="003209AA" w:rsidP="000C4E81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t>Current Issues</w:t>
      </w:r>
    </w:p>
    <w:p w:rsidR="003209AA" w:rsidRPr="00FC0285" w:rsidRDefault="003209AA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902391" w:rsidRPr="00FC0285">
        <w:rPr>
          <w:szCs w:val="24"/>
        </w:rPr>
        <w:t>The current issues in Chinese politics ha</w:t>
      </w:r>
      <w:r w:rsidR="00423E9A">
        <w:rPr>
          <w:szCs w:val="24"/>
        </w:rPr>
        <w:t>ve</w:t>
      </w:r>
      <w:r w:rsidR="00902391" w:rsidRPr="00FC0285">
        <w:rPr>
          <w:szCs w:val="24"/>
        </w:rPr>
        <w:t xml:space="preserve"> been the return of autocracy, Xi Jinping</w:t>
      </w:r>
      <w:r w:rsidR="00423E9A">
        <w:rPr>
          <w:szCs w:val="24"/>
        </w:rPr>
        <w:t>,</w:t>
      </w:r>
      <w:r w:rsidR="00A24FA0">
        <w:rPr>
          <w:szCs w:val="24"/>
        </w:rPr>
        <w:t xml:space="preserve"> </w:t>
      </w:r>
      <w:r w:rsidR="00B2386B" w:rsidRPr="00FC0285">
        <w:rPr>
          <w:szCs w:val="24"/>
        </w:rPr>
        <w:t>and the indecisive effort to redesign China</w:t>
      </w:r>
      <w:r w:rsidR="00FC0285">
        <w:rPr>
          <w:szCs w:val="24"/>
        </w:rPr>
        <w:t>'</w:t>
      </w:r>
      <w:r w:rsidR="00B2386B" w:rsidRPr="00FC0285">
        <w:rPr>
          <w:szCs w:val="24"/>
        </w:rPr>
        <w:t xml:space="preserve">s economic model. </w:t>
      </w:r>
      <w:r w:rsidR="00BD56B1" w:rsidRPr="00FC0285">
        <w:rPr>
          <w:szCs w:val="24"/>
        </w:rPr>
        <w:t xml:space="preserve">Economic growth over the past couple of decades has seen the middle class expand </w:t>
      </w:r>
      <w:r w:rsidR="00E71487" w:rsidRPr="00FC0285">
        <w:rPr>
          <w:szCs w:val="24"/>
        </w:rPr>
        <w:t>extensively</w:t>
      </w:r>
      <w:r w:rsidR="00423E9A">
        <w:rPr>
          <w:szCs w:val="24"/>
        </w:rPr>
        <w:t>;</w:t>
      </w:r>
      <w:r w:rsidR="00E71487" w:rsidRPr="00FC0285">
        <w:rPr>
          <w:szCs w:val="24"/>
        </w:rPr>
        <w:t xml:space="preserve"> however, the Communist Party of China </w:t>
      </w:r>
      <w:r w:rsidR="00423E9A">
        <w:rPr>
          <w:szCs w:val="24"/>
        </w:rPr>
        <w:t>is</w:t>
      </w:r>
      <w:r w:rsidR="00774DA7" w:rsidRPr="00FC0285">
        <w:rPr>
          <w:szCs w:val="24"/>
        </w:rPr>
        <w:t xml:space="preserve"> yet to develop a model that will accommodate this majority and involve them in government decision making. </w:t>
      </w:r>
      <w:r w:rsidR="00E40119" w:rsidRPr="00FC0285">
        <w:rPr>
          <w:szCs w:val="24"/>
        </w:rPr>
        <w:t>Additionally, major trends in the country</w:t>
      </w:r>
      <w:r w:rsidR="00FC0285">
        <w:rPr>
          <w:szCs w:val="24"/>
        </w:rPr>
        <w:t>'</w:t>
      </w:r>
      <w:r w:rsidR="00E40119" w:rsidRPr="00FC0285">
        <w:rPr>
          <w:szCs w:val="24"/>
        </w:rPr>
        <w:t xml:space="preserve">s national security </w:t>
      </w:r>
      <w:r w:rsidR="00E40119" w:rsidRPr="00FC0285">
        <w:rPr>
          <w:szCs w:val="24"/>
        </w:rPr>
        <w:lastRenderedPageBreak/>
        <w:t>situation ha</w:t>
      </w:r>
      <w:r w:rsidR="00423E9A">
        <w:rPr>
          <w:szCs w:val="24"/>
        </w:rPr>
        <w:t>ve</w:t>
      </w:r>
      <w:r w:rsidR="00E40119" w:rsidRPr="00FC0285">
        <w:rPr>
          <w:szCs w:val="24"/>
        </w:rPr>
        <w:t xml:space="preserve"> been the worsening relations with other countries, strengthening ties with Russia</w:t>
      </w:r>
      <w:r w:rsidR="00423E9A">
        <w:rPr>
          <w:szCs w:val="24"/>
        </w:rPr>
        <w:t>,</w:t>
      </w:r>
      <w:r w:rsidR="00E40119" w:rsidRPr="00FC0285">
        <w:rPr>
          <w:szCs w:val="24"/>
        </w:rPr>
        <w:t xml:space="preserve"> and its ambitious role of global governance. </w:t>
      </w:r>
      <w:r w:rsidR="00D26DBC" w:rsidRPr="00FC0285">
        <w:rPr>
          <w:szCs w:val="24"/>
        </w:rPr>
        <w:t>Foreign views h</w:t>
      </w:r>
      <w:r w:rsidR="002F5F1B" w:rsidRPr="00FC0285">
        <w:rPr>
          <w:szCs w:val="24"/>
        </w:rPr>
        <w:t>ave also negatively changed</w:t>
      </w:r>
      <w:r w:rsidR="00423E9A">
        <w:rPr>
          <w:szCs w:val="24"/>
        </w:rPr>
        <w:t>,</w:t>
      </w:r>
      <w:r w:rsidR="002F5F1B" w:rsidRPr="00FC0285">
        <w:rPr>
          <w:szCs w:val="24"/>
        </w:rPr>
        <w:t xml:space="preserve"> which is not favorable for China. </w:t>
      </w:r>
      <w:r w:rsidR="00174A85" w:rsidRPr="00FC0285">
        <w:rPr>
          <w:szCs w:val="24"/>
        </w:rPr>
        <w:t>The country</w:t>
      </w:r>
      <w:r w:rsidR="00FC0285">
        <w:rPr>
          <w:szCs w:val="24"/>
        </w:rPr>
        <w:t>'</w:t>
      </w:r>
      <w:r w:rsidR="00174A85" w:rsidRPr="00FC0285">
        <w:rPr>
          <w:szCs w:val="24"/>
        </w:rPr>
        <w:t xml:space="preserve">s political system </w:t>
      </w:r>
      <w:r w:rsidR="00154F86" w:rsidRPr="00FC0285">
        <w:rPr>
          <w:szCs w:val="24"/>
        </w:rPr>
        <w:t>is increasingly becoming less attractive</w:t>
      </w:r>
      <w:r w:rsidR="00423E9A">
        <w:rPr>
          <w:szCs w:val="24"/>
        </w:rPr>
        <w:t>,</w:t>
      </w:r>
      <w:r w:rsidR="00154F86" w:rsidRPr="00FC0285">
        <w:rPr>
          <w:szCs w:val="24"/>
        </w:rPr>
        <w:t xml:space="preserve"> which will affect the integration with other outlying region</w:t>
      </w:r>
      <w:r w:rsidR="00423E9A">
        <w:rPr>
          <w:szCs w:val="24"/>
        </w:rPr>
        <w:t>s</w:t>
      </w:r>
      <w:r w:rsidR="00154F86" w:rsidRPr="00FC0285">
        <w:rPr>
          <w:szCs w:val="24"/>
        </w:rPr>
        <w:t xml:space="preserve"> of the Chinese commonwealth</w:t>
      </w:r>
      <w:r w:rsidR="00423E9A">
        <w:rPr>
          <w:szCs w:val="24"/>
        </w:rPr>
        <w:t>,</w:t>
      </w:r>
      <w:r w:rsidR="00154F86" w:rsidRPr="00FC0285">
        <w:rPr>
          <w:szCs w:val="24"/>
        </w:rPr>
        <w:t xml:space="preserve"> such as Taiwan and Hong Kong</w:t>
      </w:r>
      <w:r w:rsidR="00C20969" w:rsidRPr="00FC0285">
        <w:rPr>
          <w:szCs w:val="24"/>
        </w:rPr>
        <w:t xml:space="preserve"> (</w:t>
      </w:r>
      <w:r w:rsidR="00C20969" w:rsidRPr="00FC0285">
        <w:rPr>
          <w:color w:val="222222"/>
          <w:szCs w:val="24"/>
          <w:shd w:val="clear" w:color="auto" w:fill="FFFFFF"/>
        </w:rPr>
        <w:t>Rahmati, Ali &amp; Kamraju,2020)</w:t>
      </w:r>
      <w:r w:rsidR="00154F86" w:rsidRPr="00FC0285">
        <w:rPr>
          <w:szCs w:val="24"/>
        </w:rPr>
        <w:t xml:space="preserve">. </w:t>
      </w:r>
    </w:p>
    <w:p w:rsidR="00023730" w:rsidRPr="00FC0285" w:rsidRDefault="00023730" w:rsidP="000C4E81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t>Importance of Foreign Capital Inflows</w:t>
      </w:r>
    </w:p>
    <w:p w:rsidR="00023730" w:rsidRPr="00FC0285" w:rsidRDefault="00023730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930EF6" w:rsidRPr="00FC0285">
        <w:rPr>
          <w:szCs w:val="24"/>
        </w:rPr>
        <w:t xml:space="preserve">Foreign capital inflows </w:t>
      </w:r>
      <w:r w:rsidR="00C04A56" w:rsidRPr="00FC0285">
        <w:rPr>
          <w:szCs w:val="24"/>
        </w:rPr>
        <w:t>refer</w:t>
      </w:r>
      <w:r w:rsidR="00930EF6" w:rsidRPr="00FC0285">
        <w:rPr>
          <w:szCs w:val="24"/>
        </w:rPr>
        <w:t xml:space="preserve"> to capital a country</w:t>
      </w:r>
      <w:r w:rsidR="00FC0285">
        <w:rPr>
          <w:szCs w:val="24"/>
        </w:rPr>
        <w:t>'</w:t>
      </w:r>
      <w:r w:rsidR="00930EF6" w:rsidRPr="00FC0285">
        <w:rPr>
          <w:szCs w:val="24"/>
        </w:rPr>
        <w:t xml:space="preserve"> receives from other countries. </w:t>
      </w:r>
      <w:r w:rsidR="00A57FB5" w:rsidRPr="00FC0285">
        <w:rPr>
          <w:szCs w:val="24"/>
        </w:rPr>
        <w:t xml:space="preserve">Foreign capital inflows have significant benefits </w:t>
      </w:r>
      <w:r w:rsidR="00C04A56" w:rsidRPr="00FC0285">
        <w:rPr>
          <w:szCs w:val="24"/>
        </w:rPr>
        <w:t>to the</w:t>
      </w:r>
      <w:r w:rsidR="00DA6658" w:rsidRPr="00FC0285">
        <w:rPr>
          <w:szCs w:val="24"/>
        </w:rPr>
        <w:t xml:space="preserve"> recipient</w:t>
      </w:r>
      <w:r w:rsidR="00C04A56" w:rsidRPr="00FC0285">
        <w:rPr>
          <w:szCs w:val="24"/>
        </w:rPr>
        <w:t xml:space="preserve"> country</w:t>
      </w:r>
      <w:r w:rsidR="00533A84" w:rsidRPr="00FC0285">
        <w:rPr>
          <w:szCs w:val="24"/>
        </w:rPr>
        <w:t>. Capital flows allow investors to increase returns and diversity risks</w:t>
      </w:r>
      <w:r w:rsidR="00423E9A">
        <w:rPr>
          <w:szCs w:val="24"/>
        </w:rPr>
        <w:t>, therefore,</w:t>
      </w:r>
      <w:r w:rsidR="00533A84" w:rsidRPr="00FC0285">
        <w:rPr>
          <w:szCs w:val="24"/>
        </w:rPr>
        <w:t xml:space="preserve"> allowing the recipient </w:t>
      </w:r>
      <w:r w:rsidR="00DA6658" w:rsidRPr="00FC0285">
        <w:rPr>
          <w:szCs w:val="24"/>
        </w:rPr>
        <w:t>countries to increase consumption, finance economic growth</w:t>
      </w:r>
      <w:r w:rsidR="00423E9A">
        <w:rPr>
          <w:szCs w:val="24"/>
        </w:rPr>
        <w:t>,</w:t>
      </w:r>
      <w:r w:rsidR="00DA6658" w:rsidRPr="00FC0285">
        <w:rPr>
          <w:szCs w:val="24"/>
        </w:rPr>
        <w:t xml:space="preserve"> and fast rates of investment. </w:t>
      </w:r>
      <w:r w:rsidR="003320F0" w:rsidRPr="00FC0285">
        <w:rPr>
          <w:szCs w:val="24"/>
        </w:rPr>
        <w:t xml:space="preserve">Foreign capital inflows and capital mobility allows countries to attract finance for </w:t>
      </w:r>
      <w:r w:rsidR="00423E9A">
        <w:rPr>
          <w:szCs w:val="24"/>
        </w:rPr>
        <w:t xml:space="preserve">the </w:t>
      </w:r>
      <w:r w:rsidR="00EB4B49" w:rsidRPr="00FC0285">
        <w:rPr>
          <w:szCs w:val="24"/>
        </w:rPr>
        <w:t>investment of productive projects, promote intertemporal trade, promoting diversification of investment risks</w:t>
      </w:r>
      <w:r w:rsidR="00423E9A">
        <w:rPr>
          <w:szCs w:val="24"/>
        </w:rPr>
        <w:t>,</w:t>
      </w:r>
      <w:r w:rsidR="00EB4B49" w:rsidRPr="00FC0285">
        <w:rPr>
          <w:szCs w:val="24"/>
        </w:rPr>
        <w:t xml:space="preserve"> and contributing </w:t>
      </w:r>
      <w:r w:rsidR="0019382F" w:rsidRPr="00FC0285">
        <w:rPr>
          <w:szCs w:val="24"/>
        </w:rPr>
        <w:t>to the development of financial markets</w:t>
      </w:r>
      <w:r w:rsidR="006C6046" w:rsidRPr="00FC0285">
        <w:rPr>
          <w:szCs w:val="24"/>
        </w:rPr>
        <w:t xml:space="preserve"> (</w:t>
      </w:r>
      <w:r w:rsidR="006C6046" w:rsidRPr="00FC0285">
        <w:rPr>
          <w:color w:val="222222"/>
          <w:szCs w:val="24"/>
          <w:shd w:val="clear" w:color="auto" w:fill="FFFFFF"/>
        </w:rPr>
        <w:t>McCloud, Delgado &amp; Jin, 2021)</w:t>
      </w:r>
      <w:r w:rsidR="0019382F" w:rsidRPr="00FC0285">
        <w:rPr>
          <w:szCs w:val="24"/>
        </w:rPr>
        <w:t>.</w:t>
      </w:r>
    </w:p>
    <w:p w:rsidR="00AB351D" w:rsidRPr="00FC0285" w:rsidRDefault="00AB351D" w:rsidP="000C4E81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t>Sovereign Debt</w:t>
      </w:r>
    </w:p>
    <w:p w:rsidR="00AB351D" w:rsidRPr="00FC0285" w:rsidRDefault="00AB351D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DB2273" w:rsidRPr="00FC0285">
        <w:rPr>
          <w:szCs w:val="24"/>
        </w:rPr>
        <w:t xml:space="preserve">Sovereign debt is </w:t>
      </w:r>
      <w:r w:rsidR="007A19C5" w:rsidRPr="00FC0285">
        <w:rPr>
          <w:szCs w:val="24"/>
        </w:rPr>
        <w:t>debt that is provided by the national government in foreign currency so as to finance the country</w:t>
      </w:r>
      <w:r w:rsidR="00FC0285">
        <w:rPr>
          <w:szCs w:val="24"/>
        </w:rPr>
        <w:t>'</w:t>
      </w:r>
      <w:r w:rsidR="007A19C5" w:rsidRPr="00FC0285">
        <w:rPr>
          <w:szCs w:val="24"/>
        </w:rPr>
        <w:t xml:space="preserve">s growth and development. </w:t>
      </w:r>
      <w:r w:rsidR="006543E5" w:rsidRPr="00FC0285">
        <w:rPr>
          <w:szCs w:val="24"/>
        </w:rPr>
        <w:t>Sovereign debt is also referred to as public debt</w:t>
      </w:r>
      <w:r w:rsidR="00423E9A">
        <w:rPr>
          <w:szCs w:val="24"/>
        </w:rPr>
        <w:t>,</w:t>
      </w:r>
      <w:r w:rsidR="006543E5" w:rsidRPr="00FC0285">
        <w:rPr>
          <w:szCs w:val="24"/>
        </w:rPr>
        <w:t xml:space="preserve"> or national debt can either be owed to local lenders within the country or foreign lenders. </w:t>
      </w:r>
      <w:r w:rsidR="002751A8" w:rsidRPr="00FC0285">
        <w:rPr>
          <w:szCs w:val="24"/>
        </w:rPr>
        <w:t>China</w:t>
      </w:r>
      <w:r w:rsidR="00FC0285">
        <w:rPr>
          <w:szCs w:val="24"/>
        </w:rPr>
        <w:t>'</w:t>
      </w:r>
      <w:r w:rsidR="002751A8" w:rsidRPr="00FC0285">
        <w:rPr>
          <w:szCs w:val="24"/>
        </w:rPr>
        <w:t>s sovereign debt stands at $7.0 trillion as of 2020</w:t>
      </w:r>
      <w:r w:rsidR="00A36294" w:rsidRPr="00FC0285">
        <w:rPr>
          <w:szCs w:val="24"/>
        </w:rPr>
        <w:t xml:space="preserve"> that is equivalent to 45% of its Gross Domestic Product. </w:t>
      </w:r>
      <w:r w:rsidR="00E15B43" w:rsidRPr="00FC0285">
        <w:rPr>
          <w:szCs w:val="24"/>
        </w:rPr>
        <w:t>According to the International Monetary Fund, state-owned industrial firms have a debt that is worth almost 74% of the county</w:t>
      </w:r>
      <w:r w:rsidR="00FC0285">
        <w:rPr>
          <w:szCs w:val="24"/>
        </w:rPr>
        <w:t>'</w:t>
      </w:r>
      <w:r w:rsidR="00E15B43" w:rsidRPr="00FC0285">
        <w:rPr>
          <w:szCs w:val="24"/>
        </w:rPr>
        <w:t xml:space="preserve">s GDP. Furthermore, </w:t>
      </w:r>
      <w:r w:rsidR="00423E9A">
        <w:rPr>
          <w:szCs w:val="24"/>
        </w:rPr>
        <w:t xml:space="preserve">the </w:t>
      </w:r>
      <w:r w:rsidR="00E15B43" w:rsidRPr="00FC0285">
        <w:rPr>
          <w:szCs w:val="24"/>
        </w:rPr>
        <w:t>Agricultural Development Bank of China, China Development Bank</w:t>
      </w:r>
      <w:r w:rsidR="00423E9A">
        <w:rPr>
          <w:szCs w:val="24"/>
        </w:rPr>
        <w:t>,</w:t>
      </w:r>
      <w:r w:rsidR="00E15B43" w:rsidRPr="00FC0285">
        <w:rPr>
          <w:szCs w:val="24"/>
        </w:rPr>
        <w:t xml:space="preserve"> and Exim Bank of China</w:t>
      </w:r>
      <w:r w:rsidR="00423E9A">
        <w:rPr>
          <w:szCs w:val="24"/>
        </w:rPr>
        <w:t>,</w:t>
      </w:r>
      <w:r w:rsidR="00E15B43" w:rsidRPr="00FC0285">
        <w:rPr>
          <w:szCs w:val="24"/>
        </w:rPr>
        <w:t xml:space="preserve"> which are government</w:t>
      </w:r>
      <w:r w:rsidR="00423E9A">
        <w:rPr>
          <w:szCs w:val="24"/>
        </w:rPr>
        <w:t>-</w:t>
      </w:r>
      <w:r w:rsidR="00E15B43" w:rsidRPr="00FC0285">
        <w:rPr>
          <w:szCs w:val="24"/>
        </w:rPr>
        <w:t>owned banks</w:t>
      </w:r>
      <w:r w:rsidR="00423E9A">
        <w:rPr>
          <w:szCs w:val="24"/>
        </w:rPr>
        <w:t>,</w:t>
      </w:r>
      <w:r w:rsidR="00E15B43" w:rsidRPr="00FC0285">
        <w:rPr>
          <w:szCs w:val="24"/>
        </w:rPr>
        <w:t xml:space="preserve"> owned a debt equivalent to 29% of the GDP</w:t>
      </w:r>
      <w:r w:rsidR="00BC6229" w:rsidRPr="00FC0285">
        <w:rPr>
          <w:szCs w:val="24"/>
        </w:rPr>
        <w:t xml:space="preserve"> (</w:t>
      </w:r>
      <w:r w:rsidR="00BC6229" w:rsidRPr="00FC0285">
        <w:rPr>
          <w:color w:val="222222"/>
          <w:szCs w:val="24"/>
          <w:shd w:val="clear" w:color="auto" w:fill="FFFFFF"/>
        </w:rPr>
        <w:t>Mitchener &amp; Trebesch,2021)</w:t>
      </w:r>
      <w:r w:rsidR="00E15B43" w:rsidRPr="00FC0285">
        <w:rPr>
          <w:szCs w:val="24"/>
        </w:rPr>
        <w:t xml:space="preserve">. </w:t>
      </w:r>
      <w:r w:rsidR="007A4416" w:rsidRPr="00FC0285">
        <w:rPr>
          <w:szCs w:val="24"/>
        </w:rPr>
        <w:t>The high sovereign debt level is a significant economic challenge facing China.</w:t>
      </w:r>
    </w:p>
    <w:p w:rsidR="00943EAA" w:rsidRPr="00FC0285" w:rsidRDefault="00943EAA" w:rsidP="00720110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lastRenderedPageBreak/>
        <w:t>Conclusion</w:t>
      </w:r>
    </w:p>
    <w:p w:rsidR="001A2354" w:rsidRPr="00FC0285" w:rsidRDefault="00943EAA" w:rsidP="006B4E2F">
      <w:pPr>
        <w:spacing w:after="0" w:line="480" w:lineRule="auto"/>
        <w:rPr>
          <w:szCs w:val="24"/>
        </w:rPr>
      </w:pPr>
      <w:r w:rsidRPr="00FC0285">
        <w:rPr>
          <w:szCs w:val="24"/>
        </w:rPr>
        <w:tab/>
      </w:r>
      <w:r w:rsidR="008B647D" w:rsidRPr="00FC0285">
        <w:rPr>
          <w:szCs w:val="24"/>
        </w:rPr>
        <w:t xml:space="preserve">China has experienced significant economic growth to become one of the global economic leaders. This </w:t>
      </w:r>
      <w:r w:rsidR="001376ED" w:rsidRPr="00FC0285">
        <w:rPr>
          <w:szCs w:val="24"/>
        </w:rPr>
        <w:t>was propelled by the trade liberalization and economic reforms that saw China open itself to international trad</w:t>
      </w:r>
      <w:r w:rsidR="002F2907" w:rsidRPr="00FC0285">
        <w:rPr>
          <w:szCs w:val="24"/>
        </w:rPr>
        <w:t xml:space="preserve">e and increase investment in </w:t>
      </w:r>
      <w:r w:rsidR="00423E9A">
        <w:rPr>
          <w:szCs w:val="24"/>
        </w:rPr>
        <w:t xml:space="preserve">the </w:t>
      </w:r>
      <w:r w:rsidR="002F2907" w:rsidRPr="00FC0285">
        <w:rPr>
          <w:szCs w:val="24"/>
        </w:rPr>
        <w:t>manufacturing sector which enhanced the country</w:t>
      </w:r>
      <w:r w:rsidR="00FC0285">
        <w:rPr>
          <w:szCs w:val="24"/>
        </w:rPr>
        <w:t>'</w:t>
      </w:r>
      <w:r w:rsidR="002F2907" w:rsidRPr="00FC0285">
        <w:rPr>
          <w:szCs w:val="24"/>
        </w:rPr>
        <w:t xml:space="preserve">s economic growth. </w:t>
      </w:r>
      <w:r w:rsidR="00FF3966" w:rsidRPr="00FC0285">
        <w:rPr>
          <w:szCs w:val="24"/>
        </w:rPr>
        <w:t>China is a significant business partner for many countries of the world</w:t>
      </w:r>
      <w:r w:rsidR="00423E9A">
        <w:rPr>
          <w:szCs w:val="24"/>
        </w:rPr>
        <w:t>,</w:t>
      </w:r>
      <w:r w:rsidR="00FF3966" w:rsidRPr="00FC0285">
        <w:rPr>
          <w:szCs w:val="24"/>
        </w:rPr>
        <w:t xml:space="preserve"> which in addition to its high population</w:t>
      </w:r>
      <w:r w:rsidR="00423E9A">
        <w:rPr>
          <w:szCs w:val="24"/>
        </w:rPr>
        <w:t>,</w:t>
      </w:r>
      <w:r w:rsidR="00FF3966" w:rsidRPr="00FC0285">
        <w:rPr>
          <w:szCs w:val="24"/>
        </w:rPr>
        <w:t xml:space="preserve"> provide</w:t>
      </w:r>
      <w:r w:rsidR="00423E9A">
        <w:rPr>
          <w:szCs w:val="24"/>
        </w:rPr>
        <w:t>s</w:t>
      </w:r>
      <w:r w:rsidR="00FF3966" w:rsidRPr="00FC0285">
        <w:rPr>
          <w:szCs w:val="24"/>
        </w:rPr>
        <w:t xml:space="preserve"> important market opportunities for foreign business. </w:t>
      </w:r>
      <w:r w:rsidR="001B0903" w:rsidRPr="00FC0285">
        <w:rPr>
          <w:szCs w:val="24"/>
        </w:rPr>
        <w:t xml:space="preserve">China is a viable market that foreign business can venture into </w:t>
      </w:r>
      <w:r w:rsidR="00C20185" w:rsidRPr="00FC0285">
        <w:rPr>
          <w:szCs w:val="24"/>
        </w:rPr>
        <w:t>as the country</w:t>
      </w:r>
      <w:r w:rsidR="00FC0285">
        <w:rPr>
          <w:szCs w:val="24"/>
        </w:rPr>
        <w:t>'</w:t>
      </w:r>
      <w:r w:rsidR="00C20185" w:rsidRPr="00FC0285">
        <w:rPr>
          <w:szCs w:val="24"/>
        </w:rPr>
        <w:t xml:space="preserve">s </w:t>
      </w:r>
      <w:r w:rsidR="0081306C" w:rsidRPr="00FC0285">
        <w:rPr>
          <w:szCs w:val="24"/>
        </w:rPr>
        <w:t xml:space="preserve">risk assessment provides </w:t>
      </w:r>
      <w:r w:rsidR="00720110" w:rsidRPr="00FC0285">
        <w:rPr>
          <w:szCs w:val="24"/>
        </w:rPr>
        <w:t>reveal</w:t>
      </w:r>
      <w:r w:rsidR="00423E9A">
        <w:rPr>
          <w:szCs w:val="24"/>
        </w:rPr>
        <w:t>s</w:t>
      </w:r>
      <w:r w:rsidR="00790941" w:rsidRPr="00FC0285">
        <w:rPr>
          <w:szCs w:val="24"/>
        </w:rPr>
        <w:t xml:space="preserve"> the </w:t>
      </w:r>
      <w:r w:rsidR="006C3410" w:rsidRPr="00FC0285">
        <w:rPr>
          <w:szCs w:val="24"/>
        </w:rPr>
        <w:t xml:space="preserve">present risks </w:t>
      </w:r>
      <w:r w:rsidR="00EE112C" w:rsidRPr="00FC0285">
        <w:rPr>
          <w:szCs w:val="24"/>
        </w:rPr>
        <w:t xml:space="preserve">are manageable. </w:t>
      </w:r>
    </w:p>
    <w:p w:rsidR="001A2354" w:rsidRPr="00FC0285" w:rsidRDefault="001A2354">
      <w:pPr>
        <w:rPr>
          <w:szCs w:val="24"/>
        </w:rPr>
      </w:pPr>
      <w:r w:rsidRPr="00FC0285">
        <w:rPr>
          <w:szCs w:val="24"/>
        </w:rPr>
        <w:br w:type="page"/>
      </w:r>
    </w:p>
    <w:p w:rsidR="00943EAA" w:rsidRPr="00FC0285" w:rsidRDefault="001A2354" w:rsidP="00FC0285">
      <w:pPr>
        <w:spacing w:after="0" w:line="480" w:lineRule="auto"/>
        <w:jc w:val="center"/>
        <w:rPr>
          <w:b/>
          <w:bCs/>
          <w:szCs w:val="24"/>
        </w:rPr>
      </w:pPr>
      <w:r w:rsidRPr="00FC0285">
        <w:rPr>
          <w:b/>
          <w:bCs/>
          <w:szCs w:val="24"/>
        </w:rPr>
        <w:lastRenderedPageBreak/>
        <w:t>References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Adeel-Farooq, R. M., Bakar, N. A. A., &amp; Raji, J. O. (2017). Trade openness, financial liberalization and economic growth. </w:t>
      </w:r>
      <w:r w:rsidRPr="00FC0285">
        <w:rPr>
          <w:i/>
          <w:iCs/>
          <w:color w:val="222222"/>
          <w:szCs w:val="24"/>
          <w:shd w:val="clear" w:color="auto" w:fill="FFFFFF"/>
        </w:rPr>
        <w:t>South Asian Journal of Business Studies</w:t>
      </w:r>
      <w:r w:rsidRPr="00FC0285">
        <w:rPr>
          <w:color w:val="222222"/>
          <w:szCs w:val="24"/>
          <w:shd w:val="clear" w:color="auto" w:fill="FFFFFF"/>
        </w:rPr>
        <w:t>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000000"/>
          <w:szCs w:val="24"/>
          <w:shd w:val="clear" w:color="auto" w:fill="FFFFFF"/>
        </w:rPr>
      </w:pPr>
      <w:r w:rsidRPr="00FC0285">
        <w:rPr>
          <w:i/>
          <w:iCs/>
          <w:color w:val="000000"/>
          <w:szCs w:val="24"/>
          <w:shd w:val="clear" w:color="auto" w:fill="FFFFFF"/>
        </w:rPr>
        <w:t>Beyond 20/20 WDS - Table view</w:t>
      </w:r>
      <w:r w:rsidRPr="00FC0285">
        <w:rPr>
          <w:color w:val="000000"/>
          <w:szCs w:val="24"/>
          <w:shd w:val="clear" w:color="auto" w:fill="FFFFFF"/>
        </w:rPr>
        <w:t xml:space="preserve">. Unctadstat.unctad.org. (2021). Retrieved from </w:t>
      </w:r>
      <w:hyperlink r:id="rId9" w:history="1">
        <w:r w:rsidRPr="00FC0285">
          <w:rPr>
            <w:rStyle w:val="Hyperlink"/>
            <w:szCs w:val="24"/>
            <w:shd w:val="clear" w:color="auto" w:fill="FFFFFF"/>
          </w:rPr>
          <w:t>https://unctadstat.unctad.org/wds/TableViewer/tableView.aspx?ReportId=96740</w:t>
        </w:r>
      </w:hyperlink>
      <w:r w:rsidRPr="00FC0285">
        <w:rPr>
          <w:color w:val="000000"/>
          <w:szCs w:val="24"/>
          <w:shd w:val="clear" w:color="auto" w:fill="FFFFFF"/>
        </w:rPr>
        <w:t>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Das, M. S. (2019). </w:t>
      </w:r>
      <w:r w:rsidRPr="00FC0285">
        <w:rPr>
          <w:i/>
          <w:iCs/>
          <w:color w:val="222222"/>
          <w:szCs w:val="24"/>
          <w:shd w:val="clear" w:color="auto" w:fill="FFFFFF"/>
        </w:rPr>
        <w:t>China</w:t>
      </w:r>
      <w:r>
        <w:rPr>
          <w:i/>
          <w:iCs/>
          <w:color w:val="222222"/>
          <w:szCs w:val="24"/>
          <w:shd w:val="clear" w:color="auto" w:fill="FFFFFF"/>
        </w:rPr>
        <w:t>'</w:t>
      </w:r>
      <w:r w:rsidRPr="00FC0285">
        <w:rPr>
          <w:i/>
          <w:iCs/>
          <w:color w:val="222222"/>
          <w:szCs w:val="24"/>
          <w:shd w:val="clear" w:color="auto" w:fill="FFFFFF"/>
        </w:rPr>
        <w:t>s evolving exchange rate regime</w:t>
      </w:r>
      <w:r w:rsidRPr="00FC0285">
        <w:rPr>
          <w:color w:val="222222"/>
          <w:szCs w:val="24"/>
          <w:shd w:val="clear" w:color="auto" w:fill="FFFFFF"/>
        </w:rPr>
        <w:t>. International Monetary Fund.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000000"/>
          <w:szCs w:val="24"/>
          <w:shd w:val="clear" w:color="auto" w:fill="FFFFFF"/>
        </w:rPr>
      </w:pPr>
      <w:r w:rsidRPr="00FC0285">
        <w:rPr>
          <w:i/>
          <w:iCs/>
          <w:color w:val="000000"/>
          <w:szCs w:val="24"/>
          <w:shd w:val="clear" w:color="auto" w:fill="FFFFFF"/>
        </w:rPr>
        <w:t>Inflation, consumer prices (annual %) | Data</w:t>
      </w:r>
      <w:r w:rsidRPr="00FC0285">
        <w:rPr>
          <w:color w:val="000000"/>
          <w:szCs w:val="24"/>
          <w:shd w:val="clear" w:color="auto" w:fill="FFFFFF"/>
        </w:rPr>
        <w:t xml:space="preserve">. Data.worldbank.org. (2021). Retrieved 5 May 2021, from </w:t>
      </w:r>
      <w:hyperlink r:id="rId10" w:history="1">
        <w:r w:rsidRPr="00FC0285">
          <w:rPr>
            <w:rStyle w:val="Hyperlink"/>
            <w:szCs w:val="24"/>
            <w:shd w:val="clear" w:color="auto" w:fill="FFFFFF"/>
          </w:rPr>
          <w:t>https://data.worldbank.org/indicator/FP.CPI.TOTL.ZG</w:t>
        </w:r>
      </w:hyperlink>
      <w:r w:rsidRPr="00FC0285">
        <w:rPr>
          <w:color w:val="000000"/>
          <w:szCs w:val="24"/>
          <w:shd w:val="clear" w:color="auto" w:fill="FFFFFF"/>
        </w:rPr>
        <w:t>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Jiang, F., &amp; Kim, K. A. (2020). Corporate governance in China: A survey. </w:t>
      </w:r>
      <w:r w:rsidRPr="00FC0285">
        <w:rPr>
          <w:i/>
          <w:iCs/>
          <w:color w:val="222222"/>
          <w:szCs w:val="24"/>
          <w:shd w:val="clear" w:color="auto" w:fill="FFFFFF"/>
        </w:rPr>
        <w:t>Review of Finance</w:t>
      </w:r>
      <w:r w:rsidRPr="00FC0285">
        <w:rPr>
          <w:color w:val="222222"/>
          <w:szCs w:val="24"/>
          <w:shd w:val="clear" w:color="auto" w:fill="FFFFFF"/>
        </w:rPr>
        <w:t>, </w:t>
      </w:r>
      <w:r w:rsidRPr="00FC0285">
        <w:rPr>
          <w:i/>
          <w:iCs/>
          <w:color w:val="222222"/>
          <w:szCs w:val="24"/>
          <w:shd w:val="clear" w:color="auto" w:fill="FFFFFF"/>
        </w:rPr>
        <w:t>24</w:t>
      </w:r>
      <w:r w:rsidRPr="00FC0285">
        <w:rPr>
          <w:color w:val="222222"/>
          <w:szCs w:val="24"/>
          <w:shd w:val="clear" w:color="auto" w:fill="FFFFFF"/>
        </w:rPr>
        <w:t>(4), 733-772.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szCs w:val="24"/>
        </w:rPr>
      </w:pPr>
      <w:r w:rsidRPr="00FC0285">
        <w:rPr>
          <w:color w:val="222222"/>
          <w:szCs w:val="24"/>
          <w:shd w:val="clear" w:color="auto" w:fill="FFFFFF"/>
        </w:rPr>
        <w:t>Luo, D., Chen, K. C., &amp; Wu, L. (2017). Political uncertainty and firm risk in China. </w:t>
      </w:r>
      <w:r w:rsidRPr="00FC0285">
        <w:rPr>
          <w:i/>
          <w:iCs/>
          <w:color w:val="222222"/>
          <w:szCs w:val="24"/>
          <w:shd w:val="clear" w:color="auto" w:fill="FFFFFF"/>
        </w:rPr>
        <w:t>Review of Development Finance</w:t>
      </w:r>
      <w:r w:rsidRPr="00FC0285">
        <w:rPr>
          <w:color w:val="222222"/>
          <w:szCs w:val="24"/>
          <w:shd w:val="clear" w:color="auto" w:fill="FFFFFF"/>
        </w:rPr>
        <w:t>, </w:t>
      </w:r>
      <w:r w:rsidRPr="00FC0285">
        <w:rPr>
          <w:i/>
          <w:iCs/>
          <w:color w:val="222222"/>
          <w:szCs w:val="24"/>
          <w:shd w:val="clear" w:color="auto" w:fill="FFFFFF"/>
        </w:rPr>
        <w:t>7</w:t>
      </w:r>
      <w:r w:rsidRPr="00FC0285">
        <w:rPr>
          <w:color w:val="222222"/>
          <w:szCs w:val="24"/>
          <w:shd w:val="clear" w:color="auto" w:fill="FFFFFF"/>
        </w:rPr>
        <w:t>(2), 85-94.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McCloud, N., Delgado, M., &amp; Jin, M. (2021). Foreign Capital Inflows, Exchange Rates, and Government Stability. </w:t>
      </w:r>
      <w:r w:rsidRPr="00FC0285">
        <w:rPr>
          <w:i/>
          <w:iCs/>
          <w:color w:val="222222"/>
          <w:szCs w:val="24"/>
          <w:shd w:val="clear" w:color="auto" w:fill="FFFFFF"/>
        </w:rPr>
        <w:t>Exchange Rates and Government Stability (April 2, 2021)</w:t>
      </w:r>
      <w:r w:rsidRPr="00FC0285">
        <w:rPr>
          <w:color w:val="222222"/>
          <w:szCs w:val="24"/>
          <w:shd w:val="clear" w:color="auto" w:fill="FFFFFF"/>
        </w:rPr>
        <w:t>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Mitchener, K. J., &amp; Trebesch, C. (2021). </w:t>
      </w:r>
      <w:r w:rsidRPr="00FC0285">
        <w:rPr>
          <w:i/>
          <w:iCs/>
          <w:color w:val="222222"/>
          <w:szCs w:val="24"/>
          <w:shd w:val="clear" w:color="auto" w:fill="FFFFFF"/>
        </w:rPr>
        <w:t xml:space="preserve">Sovereign </w:t>
      </w:r>
      <w:r w:rsidR="00423E9A">
        <w:rPr>
          <w:i/>
          <w:iCs/>
          <w:color w:val="222222"/>
          <w:szCs w:val="24"/>
          <w:shd w:val="clear" w:color="auto" w:fill="FFFFFF"/>
        </w:rPr>
        <w:t>d</w:t>
      </w:r>
      <w:r w:rsidRPr="00FC0285">
        <w:rPr>
          <w:i/>
          <w:iCs/>
          <w:color w:val="222222"/>
          <w:szCs w:val="24"/>
          <w:shd w:val="clear" w:color="auto" w:fill="FFFFFF"/>
        </w:rPr>
        <w:t>ebt in the 21st Century: Looking Backward, Looking Forward</w:t>
      </w:r>
      <w:r w:rsidRPr="00FC0285">
        <w:rPr>
          <w:color w:val="222222"/>
          <w:szCs w:val="24"/>
          <w:shd w:val="clear" w:color="auto" w:fill="FFFFFF"/>
        </w:rPr>
        <w:t> (No. w28598). National Bureau of Economic Research.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Peters, M. A. (2017). The Chinese Dream: Xi Jinping thought on Socialism with Chinese characteristics for a new era.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Rahmati, F., Ali, M. A., &amp; Kamraju, M. (2020). A Study on India-China Current Geopolitical Issues and Implications. </w:t>
      </w:r>
      <w:r w:rsidRPr="00FC0285">
        <w:rPr>
          <w:i/>
          <w:iCs/>
          <w:color w:val="222222"/>
          <w:szCs w:val="24"/>
          <w:shd w:val="clear" w:color="auto" w:fill="FFFFFF"/>
        </w:rPr>
        <w:t>International Journal of Scientific Research in Engineering and Management (IJSREM)</w:t>
      </w:r>
      <w:r w:rsidRPr="00FC0285">
        <w:rPr>
          <w:color w:val="222222"/>
          <w:szCs w:val="24"/>
          <w:shd w:val="clear" w:color="auto" w:fill="FFFFFF"/>
        </w:rPr>
        <w:t>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000000"/>
          <w:szCs w:val="24"/>
          <w:shd w:val="clear" w:color="auto" w:fill="FFFFFF"/>
        </w:rPr>
      </w:pPr>
      <w:r w:rsidRPr="00FC0285">
        <w:rPr>
          <w:color w:val="000000"/>
          <w:szCs w:val="24"/>
          <w:shd w:val="clear" w:color="auto" w:fill="FFFFFF"/>
        </w:rPr>
        <w:t xml:space="preserve">Unctadstat.unctad.org. (2021). Retrieved from </w:t>
      </w:r>
      <w:hyperlink r:id="rId11" w:history="1">
        <w:r w:rsidRPr="00FC0285">
          <w:rPr>
            <w:rStyle w:val="Hyperlink"/>
            <w:szCs w:val="24"/>
            <w:shd w:val="clear" w:color="auto" w:fill="FFFFFF"/>
          </w:rPr>
          <w:t>https://unctadstat.unctad.org/wds/TableViewer/tableView.aspx?ReportId=37469</w:t>
        </w:r>
      </w:hyperlink>
      <w:r w:rsidRPr="00FC0285">
        <w:rPr>
          <w:color w:val="000000"/>
          <w:szCs w:val="24"/>
          <w:shd w:val="clear" w:color="auto" w:fill="FFFFFF"/>
        </w:rPr>
        <w:t>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lastRenderedPageBreak/>
        <w:t>Warner, M. (2019). 2. Chinese Trade Unions: Structure and Function in a Decade of Economic Reform</w:t>
      </w:r>
      <w:r w:rsidR="00423E9A">
        <w:rPr>
          <w:color w:val="222222"/>
          <w:szCs w:val="24"/>
          <w:shd w:val="clear" w:color="auto" w:fill="FFFFFF"/>
        </w:rPr>
        <w:t>s</w:t>
      </w:r>
      <w:r w:rsidRPr="00FC0285">
        <w:rPr>
          <w:color w:val="222222"/>
          <w:szCs w:val="24"/>
          <w:shd w:val="clear" w:color="auto" w:fill="FFFFFF"/>
        </w:rPr>
        <w:t>, 1979—89. In </w:t>
      </w:r>
      <w:r w:rsidRPr="00FC0285">
        <w:rPr>
          <w:i/>
          <w:iCs/>
          <w:color w:val="222222"/>
          <w:szCs w:val="24"/>
          <w:shd w:val="clear" w:color="auto" w:fill="FFFFFF"/>
        </w:rPr>
        <w:t>Organized Labor in the Asia-Pacific Region</w:t>
      </w:r>
      <w:r w:rsidRPr="00FC0285">
        <w:rPr>
          <w:color w:val="222222"/>
          <w:szCs w:val="24"/>
          <w:shd w:val="clear" w:color="auto" w:fill="FFFFFF"/>
        </w:rPr>
        <w:t> (pp. 59-81). Cornell University Press.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Zhou, P., Arndt, F., Jiang, K., &amp; Dai, W. (2021). Looking backward and forward: Political links and environmental corporate social responsibility in China. </w:t>
      </w:r>
      <w:r w:rsidRPr="00FC0285">
        <w:rPr>
          <w:i/>
          <w:iCs/>
          <w:color w:val="222222"/>
          <w:szCs w:val="24"/>
          <w:shd w:val="clear" w:color="auto" w:fill="FFFFFF"/>
        </w:rPr>
        <w:t>Journal of Business Ethics</w:t>
      </w:r>
      <w:r w:rsidRPr="00FC0285">
        <w:rPr>
          <w:color w:val="222222"/>
          <w:szCs w:val="24"/>
          <w:shd w:val="clear" w:color="auto" w:fill="FFFFFF"/>
        </w:rPr>
        <w:t>, </w:t>
      </w:r>
      <w:r w:rsidRPr="00FC0285">
        <w:rPr>
          <w:i/>
          <w:iCs/>
          <w:color w:val="222222"/>
          <w:szCs w:val="24"/>
          <w:shd w:val="clear" w:color="auto" w:fill="FFFFFF"/>
        </w:rPr>
        <w:t>169</w:t>
      </w:r>
      <w:r w:rsidRPr="00FC0285">
        <w:rPr>
          <w:color w:val="222222"/>
          <w:szCs w:val="24"/>
          <w:shd w:val="clear" w:color="auto" w:fill="FFFFFF"/>
        </w:rPr>
        <w:t>(4), 631-649.</w:t>
      </w:r>
    </w:p>
    <w:p w:rsidR="00FC0285" w:rsidRPr="00FC0285" w:rsidRDefault="00FC0285" w:rsidP="003077DE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C0285">
        <w:rPr>
          <w:color w:val="222222"/>
          <w:szCs w:val="24"/>
          <w:shd w:val="clear" w:color="auto" w:fill="FFFFFF"/>
        </w:rPr>
        <w:t>Zhu, Y. (2020). Heritage and religion in China. In </w:t>
      </w:r>
      <w:r w:rsidRPr="00FC0285">
        <w:rPr>
          <w:i/>
          <w:iCs/>
          <w:color w:val="222222"/>
          <w:szCs w:val="24"/>
          <w:shd w:val="clear" w:color="auto" w:fill="FFFFFF"/>
        </w:rPr>
        <w:t>Handbook on Religion in China</w:t>
      </w:r>
      <w:r w:rsidRPr="00FC0285">
        <w:rPr>
          <w:color w:val="222222"/>
          <w:szCs w:val="24"/>
          <w:shd w:val="clear" w:color="auto" w:fill="FFFFFF"/>
        </w:rPr>
        <w:t>. Edward Elgar Publishing.</w:t>
      </w:r>
    </w:p>
    <w:sectPr w:rsidR="00FC0285" w:rsidRPr="00FC0285" w:rsidSect="00E9130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1B" w:rsidRDefault="00B52E1B" w:rsidP="00DF17F4">
      <w:pPr>
        <w:spacing w:after="0" w:line="240" w:lineRule="auto"/>
      </w:pPr>
      <w:r>
        <w:separator/>
      </w:r>
    </w:p>
  </w:endnote>
  <w:endnote w:type="continuationSeparator" w:id="1">
    <w:p w:rsidR="00B52E1B" w:rsidRDefault="00B52E1B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1B" w:rsidRDefault="00B52E1B" w:rsidP="00DF17F4">
      <w:pPr>
        <w:spacing w:after="0" w:line="240" w:lineRule="auto"/>
      </w:pPr>
      <w:r>
        <w:separator/>
      </w:r>
    </w:p>
  </w:footnote>
  <w:footnote w:type="continuationSeparator" w:id="1">
    <w:p w:rsidR="00B52E1B" w:rsidRDefault="00B52E1B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B72FF2">
      <w:fldChar w:fldCharType="begin"/>
    </w:r>
    <w:r>
      <w:instrText xml:space="preserve"> PAGE   \* MERGEFORMAT </w:instrText>
    </w:r>
    <w:r w:rsidR="00B72FF2">
      <w:fldChar w:fldCharType="separate"/>
    </w:r>
    <w:r w:rsidR="00A24FA0">
      <w:rPr>
        <w:noProof/>
      </w:rPr>
      <w:t>13</w:t>
    </w:r>
    <w:r w:rsidR="00B72FF2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sFAI6GkSQtAAAA"/>
  </w:docVars>
  <w:rsids>
    <w:rsidRoot w:val="00AD3D84"/>
    <w:rsid w:val="00013B91"/>
    <w:rsid w:val="00014DAF"/>
    <w:rsid w:val="00015BE6"/>
    <w:rsid w:val="000217A4"/>
    <w:rsid w:val="00021A7B"/>
    <w:rsid w:val="00023730"/>
    <w:rsid w:val="00026589"/>
    <w:rsid w:val="00026B1D"/>
    <w:rsid w:val="00034F65"/>
    <w:rsid w:val="0003611F"/>
    <w:rsid w:val="000413E7"/>
    <w:rsid w:val="00043C35"/>
    <w:rsid w:val="00043F9A"/>
    <w:rsid w:val="00044359"/>
    <w:rsid w:val="00044804"/>
    <w:rsid w:val="0004497E"/>
    <w:rsid w:val="00052B75"/>
    <w:rsid w:val="00054483"/>
    <w:rsid w:val="00056F10"/>
    <w:rsid w:val="00065333"/>
    <w:rsid w:val="0006717E"/>
    <w:rsid w:val="00067804"/>
    <w:rsid w:val="000704D7"/>
    <w:rsid w:val="00070C8C"/>
    <w:rsid w:val="00072558"/>
    <w:rsid w:val="000728A3"/>
    <w:rsid w:val="0007356B"/>
    <w:rsid w:val="000756CD"/>
    <w:rsid w:val="00076142"/>
    <w:rsid w:val="000855B2"/>
    <w:rsid w:val="00096CBD"/>
    <w:rsid w:val="000A6D04"/>
    <w:rsid w:val="000B00AA"/>
    <w:rsid w:val="000B220E"/>
    <w:rsid w:val="000B5153"/>
    <w:rsid w:val="000C394E"/>
    <w:rsid w:val="000C4E81"/>
    <w:rsid w:val="000C5106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3D7B"/>
    <w:rsid w:val="000E42D6"/>
    <w:rsid w:val="000E4642"/>
    <w:rsid w:val="000E5550"/>
    <w:rsid w:val="000E7446"/>
    <w:rsid w:val="000F12EC"/>
    <w:rsid w:val="000F1B24"/>
    <w:rsid w:val="000F2A77"/>
    <w:rsid w:val="000F368B"/>
    <w:rsid w:val="000F5A8D"/>
    <w:rsid w:val="000F5C1B"/>
    <w:rsid w:val="000F6323"/>
    <w:rsid w:val="00102738"/>
    <w:rsid w:val="00103168"/>
    <w:rsid w:val="00104403"/>
    <w:rsid w:val="001102F1"/>
    <w:rsid w:val="00112A45"/>
    <w:rsid w:val="00117087"/>
    <w:rsid w:val="001227DA"/>
    <w:rsid w:val="00124B66"/>
    <w:rsid w:val="00131A04"/>
    <w:rsid w:val="00133EDF"/>
    <w:rsid w:val="00134D12"/>
    <w:rsid w:val="001376ED"/>
    <w:rsid w:val="00143DBF"/>
    <w:rsid w:val="001446F0"/>
    <w:rsid w:val="001450A2"/>
    <w:rsid w:val="001468AB"/>
    <w:rsid w:val="0014710A"/>
    <w:rsid w:val="00150A65"/>
    <w:rsid w:val="001520F2"/>
    <w:rsid w:val="00152BE2"/>
    <w:rsid w:val="00154F86"/>
    <w:rsid w:val="0016023B"/>
    <w:rsid w:val="0016114B"/>
    <w:rsid w:val="00163C47"/>
    <w:rsid w:val="001647DE"/>
    <w:rsid w:val="001746FE"/>
    <w:rsid w:val="00174A85"/>
    <w:rsid w:val="001771B2"/>
    <w:rsid w:val="00180DA5"/>
    <w:rsid w:val="00182E41"/>
    <w:rsid w:val="001831F6"/>
    <w:rsid w:val="00183D78"/>
    <w:rsid w:val="00191421"/>
    <w:rsid w:val="0019382F"/>
    <w:rsid w:val="001A1EC4"/>
    <w:rsid w:val="001A2354"/>
    <w:rsid w:val="001A5B81"/>
    <w:rsid w:val="001A7628"/>
    <w:rsid w:val="001A7EE6"/>
    <w:rsid w:val="001B04F2"/>
    <w:rsid w:val="001B0903"/>
    <w:rsid w:val="001B24A8"/>
    <w:rsid w:val="001B3C89"/>
    <w:rsid w:val="001B70FA"/>
    <w:rsid w:val="001C3F2D"/>
    <w:rsid w:val="001C427C"/>
    <w:rsid w:val="001C4F7B"/>
    <w:rsid w:val="001C6C2D"/>
    <w:rsid w:val="001D261F"/>
    <w:rsid w:val="001D2EE1"/>
    <w:rsid w:val="001D70BE"/>
    <w:rsid w:val="001E12AE"/>
    <w:rsid w:val="001F4B88"/>
    <w:rsid w:val="001F7FDA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1E04"/>
    <w:rsid w:val="00244043"/>
    <w:rsid w:val="00252B0A"/>
    <w:rsid w:val="00254C8F"/>
    <w:rsid w:val="00255F1B"/>
    <w:rsid w:val="002623A8"/>
    <w:rsid w:val="00267206"/>
    <w:rsid w:val="002751A8"/>
    <w:rsid w:val="00285B68"/>
    <w:rsid w:val="00292AE5"/>
    <w:rsid w:val="002975D6"/>
    <w:rsid w:val="002A37B6"/>
    <w:rsid w:val="002A3FBF"/>
    <w:rsid w:val="002A4822"/>
    <w:rsid w:val="002A4D9B"/>
    <w:rsid w:val="002B1B28"/>
    <w:rsid w:val="002B381E"/>
    <w:rsid w:val="002B387E"/>
    <w:rsid w:val="002B55F7"/>
    <w:rsid w:val="002C2C93"/>
    <w:rsid w:val="002C3414"/>
    <w:rsid w:val="002C397D"/>
    <w:rsid w:val="002D07DD"/>
    <w:rsid w:val="002D5493"/>
    <w:rsid w:val="002D6330"/>
    <w:rsid w:val="002D68E4"/>
    <w:rsid w:val="002E59D2"/>
    <w:rsid w:val="002E6341"/>
    <w:rsid w:val="002F2907"/>
    <w:rsid w:val="002F5F1B"/>
    <w:rsid w:val="00301410"/>
    <w:rsid w:val="0030405A"/>
    <w:rsid w:val="0030415E"/>
    <w:rsid w:val="003077DE"/>
    <w:rsid w:val="00310885"/>
    <w:rsid w:val="0031122F"/>
    <w:rsid w:val="003118AB"/>
    <w:rsid w:val="0031335E"/>
    <w:rsid w:val="00314C8D"/>
    <w:rsid w:val="003209AA"/>
    <w:rsid w:val="0032252D"/>
    <w:rsid w:val="00323F38"/>
    <w:rsid w:val="0032400C"/>
    <w:rsid w:val="003265A7"/>
    <w:rsid w:val="00330474"/>
    <w:rsid w:val="00331799"/>
    <w:rsid w:val="003320F0"/>
    <w:rsid w:val="0033354E"/>
    <w:rsid w:val="00334745"/>
    <w:rsid w:val="00334EEE"/>
    <w:rsid w:val="00335432"/>
    <w:rsid w:val="00341701"/>
    <w:rsid w:val="0034315C"/>
    <w:rsid w:val="00343A98"/>
    <w:rsid w:val="00346F35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855AA"/>
    <w:rsid w:val="00386F33"/>
    <w:rsid w:val="00391A6A"/>
    <w:rsid w:val="003934FB"/>
    <w:rsid w:val="0039676F"/>
    <w:rsid w:val="00397B6D"/>
    <w:rsid w:val="003A0E41"/>
    <w:rsid w:val="003A2AC3"/>
    <w:rsid w:val="003A3CB9"/>
    <w:rsid w:val="003A6D77"/>
    <w:rsid w:val="003B02C1"/>
    <w:rsid w:val="003B046D"/>
    <w:rsid w:val="003B11C6"/>
    <w:rsid w:val="003B25FA"/>
    <w:rsid w:val="003B346B"/>
    <w:rsid w:val="003B5393"/>
    <w:rsid w:val="003B5566"/>
    <w:rsid w:val="003B62E1"/>
    <w:rsid w:val="003B6A37"/>
    <w:rsid w:val="003C05E5"/>
    <w:rsid w:val="003C16C8"/>
    <w:rsid w:val="003C2B37"/>
    <w:rsid w:val="003C3A28"/>
    <w:rsid w:val="003C4B25"/>
    <w:rsid w:val="003C6B58"/>
    <w:rsid w:val="003D3E3F"/>
    <w:rsid w:val="003E2B04"/>
    <w:rsid w:val="003E3F86"/>
    <w:rsid w:val="003E41FE"/>
    <w:rsid w:val="003E5BE4"/>
    <w:rsid w:val="003F08F1"/>
    <w:rsid w:val="003F228A"/>
    <w:rsid w:val="003F4823"/>
    <w:rsid w:val="003F68B6"/>
    <w:rsid w:val="00401FAE"/>
    <w:rsid w:val="00403402"/>
    <w:rsid w:val="004042B0"/>
    <w:rsid w:val="004149F1"/>
    <w:rsid w:val="00416594"/>
    <w:rsid w:val="004177D0"/>
    <w:rsid w:val="00423919"/>
    <w:rsid w:val="00423E9A"/>
    <w:rsid w:val="004244EB"/>
    <w:rsid w:val="00430983"/>
    <w:rsid w:val="004312CF"/>
    <w:rsid w:val="00433256"/>
    <w:rsid w:val="00435241"/>
    <w:rsid w:val="0043649F"/>
    <w:rsid w:val="004371FD"/>
    <w:rsid w:val="004404AC"/>
    <w:rsid w:val="00441F97"/>
    <w:rsid w:val="00441FDC"/>
    <w:rsid w:val="00442D80"/>
    <w:rsid w:val="004431C9"/>
    <w:rsid w:val="00445DA4"/>
    <w:rsid w:val="0045193F"/>
    <w:rsid w:val="004522AA"/>
    <w:rsid w:val="0045357D"/>
    <w:rsid w:val="00455937"/>
    <w:rsid w:val="00456681"/>
    <w:rsid w:val="00456E77"/>
    <w:rsid w:val="00456F38"/>
    <w:rsid w:val="00461640"/>
    <w:rsid w:val="004625BC"/>
    <w:rsid w:val="00471ED8"/>
    <w:rsid w:val="00471F4C"/>
    <w:rsid w:val="004721F4"/>
    <w:rsid w:val="00472E87"/>
    <w:rsid w:val="00473273"/>
    <w:rsid w:val="004747AF"/>
    <w:rsid w:val="004750ED"/>
    <w:rsid w:val="00476E83"/>
    <w:rsid w:val="004804D5"/>
    <w:rsid w:val="004835BB"/>
    <w:rsid w:val="00484A17"/>
    <w:rsid w:val="004924CB"/>
    <w:rsid w:val="004962E3"/>
    <w:rsid w:val="0049770F"/>
    <w:rsid w:val="004A0508"/>
    <w:rsid w:val="004A062A"/>
    <w:rsid w:val="004A1C76"/>
    <w:rsid w:val="004A2A2C"/>
    <w:rsid w:val="004A52E5"/>
    <w:rsid w:val="004B15EF"/>
    <w:rsid w:val="004B2EF2"/>
    <w:rsid w:val="004B6E13"/>
    <w:rsid w:val="004B7CDC"/>
    <w:rsid w:val="004C304D"/>
    <w:rsid w:val="004C4A3D"/>
    <w:rsid w:val="004C6680"/>
    <w:rsid w:val="004D3060"/>
    <w:rsid w:val="004D39BD"/>
    <w:rsid w:val="004D47C0"/>
    <w:rsid w:val="004D6399"/>
    <w:rsid w:val="004E5F3B"/>
    <w:rsid w:val="004E7A87"/>
    <w:rsid w:val="00502878"/>
    <w:rsid w:val="00511B17"/>
    <w:rsid w:val="0052415B"/>
    <w:rsid w:val="005243A5"/>
    <w:rsid w:val="00524BDA"/>
    <w:rsid w:val="00525B28"/>
    <w:rsid w:val="00533A84"/>
    <w:rsid w:val="00533D47"/>
    <w:rsid w:val="00534B0F"/>
    <w:rsid w:val="005370FF"/>
    <w:rsid w:val="00541E6C"/>
    <w:rsid w:val="00544663"/>
    <w:rsid w:val="00545D82"/>
    <w:rsid w:val="005475C9"/>
    <w:rsid w:val="00551263"/>
    <w:rsid w:val="0055299F"/>
    <w:rsid w:val="00553812"/>
    <w:rsid w:val="0056028B"/>
    <w:rsid w:val="0056028C"/>
    <w:rsid w:val="00560817"/>
    <w:rsid w:val="0056799A"/>
    <w:rsid w:val="00577EBC"/>
    <w:rsid w:val="005813E4"/>
    <w:rsid w:val="005815C6"/>
    <w:rsid w:val="005820DD"/>
    <w:rsid w:val="0058218B"/>
    <w:rsid w:val="00585C1B"/>
    <w:rsid w:val="00591372"/>
    <w:rsid w:val="0059492C"/>
    <w:rsid w:val="005956E7"/>
    <w:rsid w:val="005A4A85"/>
    <w:rsid w:val="005A56AC"/>
    <w:rsid w:val="005A6910"/>
    <w:rsid w:val="005A707A"/>
    <w:rsid w:val="005B5952"/>
    <w:rsid w:val="005C257F"/>
    <w:rsid w:val="005D1236"/>
    <w:rsid w:val="005D61D9"/>
    <w:rsid w:val="005D7A16"/>
    <w:rsid w:val="005E3221"/>
    <w:rsid w:val="005E3E0A"/>
    <w:rsid w:val="005E7853"/>
    <w:rsid w:val="005F02D2"/>
    <w:rsid w:val="005F2E6F"/>
    <w:rsid w:val="005F2EFD"/>
    <w:rsid w:val="005F37D2"/>
    <w:rsid w:val="005F3F05"/>
    <w:rsid w:val="0060187D"/>
    <w:rsid w:val="00605941"/>
    <w:rsid w:val="00606389"/>
    <w:rsid w:val="00610935"/>
    <w:rsid w:val="006161D0"/>
    <w:rsid w:val="00616D0F"/>
    <w:rsid w:val="006174D5"/>
    <w:rsid w:val="0062178E"/>
    <w:rsid w:val="0062407A"/>
    <w:rsid w:val="00625293"/>
    <w:rsid w:val="006342A1"/>
    <w:rsid w:val="00635CCA"/>
    <w:rsid w:val="0063638E"/>
    <w:rsid w:val="00636BCB"/>
    <w:rsid w:val="00636FC3"/>
    <w:rsid w:val="00640086"/>
    <w:rsid w:val="00640A3C"/>
    <w:rsid w:val="006412ED"/>
    <w:rsid w:val="00641328"/>
    <w:rsid w:val="00645378"/>
    <w:rsid w:val="006457AB"/>
    <w:rsid w:val="00647510"/>
    <w:rsid w:val="0065148E"/>
    <w:rsid w:val="006543E5"/>
    <w:rsid w:val="006550AB"/>
    <w:rsid w:val="006557C8"/>
    <w:rsid w:val="0065598E"/>
    <w:rsid w:val="006561F3"/>
    <w:rsid w:val="00657161"/>
    <w:rsid w:val="0066081A"/>
    <w:rsid w:val="0066572D"/>
    <w:rsid w:val="00666271"/>
    <w:rsid w:val="00666B64"/>
    <w:rsid w:val="006676AF"/>
    <w:rsid w:val="00673861"/>
    <w:rsid w:val="00673C98"/>
    <w:rsid w:val="006754A9"/>
    <w:rsid w:val="00681345"/>
    <w:rsid w:val="00683FCE"/>
    <w:rsid w:val="006903DC"/>
    <w:rsid w:val="00691DC9"/>
    <w:rsid w:val="0069323E"/>
    <w:rsid w:val="00696863"/>
    <w:rsid w:val="006A0D33"/>
    <w:rsid w:val="006A2615"/>
    <w:rsid w:val="006A5E99"/>
    <w:rsid w:val="006B06F2"/>
    <w:rsid w:val="006B158C"/>
    <w:rsid w:val="006B42AD"/>
    <w:rsid w:val="006B4E2F"/>
    <w:rsid w:val="006B6B61"/>
    <w:rsid w:val="006C22EE"/>
    <w:rsid w:val="006C2A78"/>
    <w:rsid w:val="006C302F"/>
    <w:rsid w:val="006C3410"/>
    <w:rsid w:val="006C6046"/>
    <w:rsid w:val="006C6C00"/>
    <w:rsid w:val="006D2F87"/>
    <w:rsid w:val="006D3BED"/>
    <w:rsid w:val="006E0035"/>
    <w:rsid w:val="006E2919"/>
    <w:rsid w:val="006E3564"/>
    <w:rsid w:val="006E55AF"/>
    <w:rsid w:val="006F070E"/>
    <w:rsid w:val="006F3100"/>
    <w:rsid w:val="006F4567"/>
    <w:rsid w:val="006F7DA1"/>
    <w:rsid w:val="006F7EF0"/>
    <w:rsid w:val="00700DA2"/>
    <w:rsid w:val="007023FB"/>
    <w:rsid w:val="007049EA"/>
    <w:rsid w:val="00704CBD"/>
    <w:rsid w:val="00704FE8"/>
    <w:rsid w:val="007060ED"/>
    <w:rsid w:val="00707D1E"/>
    <w:rsid w:val="00710FB6"/>
    <w:rsid w:val="00712414"/>
    <w:rsid w:val="00713FF1"/>
    <w:rsid w:val="00720110"/>
    <w:rsid w:val="007248A3"/>
    <w:rsid w:val="007348E4"/>
    <w:rsid w:val="0073659F"/>
    <w:rsid w:val="00736B64"/>
    <w:rsid w:val="007373C3"/>
    <w:rsid w:val="0074141E"/>
    <w:rsid w:val="00751978"/>
    <w:rsid w:val="00756C8B"/>
    <w:rsid w:val="0075723C"/>
    <w:rsid w:val="007615A7"/>
    <w:rsid w:val="00765B0D"/>
    <w:rsid w:val="00765ED2"/>
    <w:rsid w:val="007670CE"/>
    <w:rsid w:val="00767920"/>
    <w:rsid w:val="00772215"/>
    <w:rsid w:val="00772ECF"/>
    <w:rsid w:val="00774981"/>
    <w:rsid w:val="00774DA7"/>
    <w:rsid w:val="00775F91"/>
    <w:rsid w:val="007770A8"/>
    <w:rsid w:val="00777173"/>
    <w:rsid w:val="00777B61"/>
    <w:rsid w:val="0078428E"/>
    <w:rsid w:val="00785528"/>
    <w:rsid w:val="00785CE7"/>
    <w:rsid w:val="00790941"/>
    <w:rsid w:val="007925C5"/>
    <w:rsid w:val="007964FB"/>
    <w:rsid w:val="0079741D"/>
    <w:rsid w:val="007A134D"/>
    <w:rsid w:val="007A14AC"/>
    <w:rsid w:val="007A18EB"/>
    <w:rsid w:val="007A19C5"/>
    <w:rsid w:val="007A4416"/>
    <w:rsid w:val="007A502D"/>
    <w:rsid w:val="007A6795"/>
    <w:rsid w:val="007A782E"/>
    <w:rsid w:val="007B47D5"/>
    <w:rsid w:val="007C23AA"/>
    <w:rsid w:val="007C4355"/>
    <w:rsid w:val="007D42FC"/>
    <w:rsid w:val="007D6E8E"/>
    <w:rsid w:val="007E01C9"/>
    <w:rsid w:val="007E0A78"/>
    <w:rsid w:val="007E0C23"/>
    <w:rsid w:val="007E2650"/>
    <w:rsid w:val="007E2933"/>
    <w:rsid w:val="007E66B8"/>
    <w:rsid w:val="007F0989"/>
    <w:rsid w:val="007F1486"/>
    <w:rsid w:val="007F2372"/>
    <w:rsid w:val="007F417F"/>
    <w:rsid w:val="007F53B2"/>
    <w:rsid w:val="007F552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1306C"/>
    <w:rsid w:val="0082063F"/>
    <w:rsid w:val="00824C10"/>
    <w:rsid w:val="008346F9"/>
    <w:rsid w:val="0084045D"/>
    <w:rsid w:val="00840C15"/>
    <w:rsid w:val="008418CD"/>
    <w:rsid w:val="00843CE4"/>
    <w:rsid w:val="00843DF1"/>
    <w:rsid w:val="008451CF"/>
    <w:rsid w:val="00845D3C"/>
    <w:rsid w:val="008469B5"/>
    <w:rsid w:val="00850A21"/>
    <w:rsid w:val="00851EB9"/>
    <w:rsid w:val="00852F9C"/>
    <w:rsid w:val="008543DA"/>
    <w:rsid w:val="00855845"/>
    <w:rsid w:val="00855D13"/>
    <w:rsid w:val="008640FB"/>
    <w:rsid w:val="00867F6A"/>
    <w:rsid w:val="00885ACB"/>
    <w:rsid w:val="00892131"/>
    <w:rsid w:val="008923EB"/>
    <w:rsid w:val="00893418"/>
    <w:rsid w:val="00893F51"/>
    <w:rsid w:val="00896996"/>
    <w:rsid w:val="008A09A2"/>
    <w:rsid w:val="008A2E01"/>
    <w:rsid w:val="008A3794"/>
    <w:rsid w:val="008A3A7C"/>
    <w:rsid w:val="008A4CE6"/>
    <w:rsid w:val="008B21B3"/>
    <w:rsid w:val="008B647D"/>
    <w:rsid w:val="008C1D7C"/>
    <w:rsid w:val="008C2E44"/>
    <w:rsid w:val="008C5C3F"/>
    <w:rsid w:val="008C63A6"/>
    <w:rsid w:val="008D242E"/>
    <w:rsid w:val="008D5072"/>
    <w:rsid w:val="008D5D30"/>
    <w:rsid w:val="008E043F"/>
    <w:rsid w:val="008E1460"/>
    <w:rsid w:val="008E32FB"/>
    <w:rsid w:val="008E6FEB"/>
    <w:rsid w:val="008F01F7"/>
    <w:rsid w:val="008F1399"/>
    <w:rsid w:val="008F1E87"/>
    <w:rsid w:val="008F2EE9"/>
    <w:rsid w:val="008F7316"/>
    <w:rsid w:val="00901308"/>
    <w:rsid w:val="00902391"/>
    <w:rsid w:val="00905F6B"/>
    <w:rsid w:val="00906488"/>
    <w:rsid w:val="009104B2"/>
    <w:rsid w:val="00914123"/>
    <w:rsid w:val="00914EA7"/>
    <w:rsid w:val="00921519"/>
    <w:rsid w:val="00924E58"/>
    <w:rsid w:val="00926012"/>
    <w:rsid w:val="0092620B"/>
    <w:rsid w:val="00930EF6"/>
    <w:rsid w:val="0093108D"/>
    <w:rsid w:val="00932CB6"/>
    <w:rsid w:val="00936B1D"/>
    <w:rsid w:val="00937CC6"/>
    <w:rsid w:val="009432A1"/>
    <w:rsid w:val="00943EAA"/>
    <w:rsid w:val="0095434B"/>
    <w:rsid w:val="00957AD5"/>
    <w:rsid w:val="0096025D"/>
    <w:rsid w:val="009714F1"/>
    <w:rsid w:val="00974532"/>
    <w:rsid w:val="00974B8E"/>
    <w:rsid w:val="00981F5C"/>
    <w:rsid w:val="00984D34"/>
    <w:rsid w:val="00991066"/>
    <w:rsid w:val="009941DC"/>
    <w:rsid w:val="009A0CA5"/>
    <w:rsid w:val="009A2A2F"/>
    <w:rsid w:val="009A3DDB"/>
    <w:rsid w:val="009A7DB6"/>
    <w:rsid w:val="009B007F"/>
    <w:rsid w:val="009B1A11"/>
    <w:rsid w:val="009B5137"/>
    <w:rsid w:val="009B6AD2"/>
    <w:rsid w:val="009C56A9"/>
    <w:rsid w:val="009C60BD"/>
    <w:rsid w:val="009E26EA"/>
    <w:rsid w:val="009E3A80"/>
    <w:rsid w:val="009F1D57"/>
    <w:rsid w:val="009F3A45"/>
    <w:rsid w:val="009F4FC8"/>
    <w:rsid w:val="009F55FA"/>
    <w:rsid w:val="009F64CF"/>
    <w:rsid w:val="00A1421C"/>
    <w:rsid w:val="00A15001"/>
    <w:rsid w:val="00A178CF"/>
    <w:rsid w:val="00A217F3"/>
    <w:rsid w:val="00A24FA0"/>
    <w:rsid w:val="00A26BF5"/>
    <w:rsid w:val="00A273D0"/>
    <w:rsid w:val="00A31C7F"/>
    <w:rsid w:val="00A3616D"/>
    <w:rsid w:val="00A36294"/>
    <w:rsid w:val="00A37F48"/>
    <w:rsid w:val="00A46AD1"/>
    <w:rsid w:val="00A51B64"/>
    <w:rsid w:val="00A51FDF"/>
    <w:rsid w:val="00A5490E"/>
    <w:rsid w:val="00A558AE"/>
    <w:rsid w:val="00A56E66"/>
    <w:rsid w:val="00A57FB5"/>
    <w:rsid w:val="00A64D5D"/>
    <w:rsid w:val="00A71026"/>
    <w:rsid w:val="00A71230"/>
    <w:rsid w:val="00A73E3C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430"/>
    <w:rsid w:val="00AB351D"/>
    <w:rsid w:val="00AB399F"/>
    <w:rsid w:val="00AB5B3F"/>
    <w:rsid w:val="00AB7C3E"/>
    <w:rsid w:val="00AD3BB1"/>
    <w:rsid w:val="00AD3D84"/>
    <w:rsid w:val="00AD4FD4"/>
    <w:rsid w:val="00AE0449"/>
    <w:rsid w:val="00AE234A"/>
    <w:rsid w:val="00AE330F"/>
    <w:rsid w:val="00AE4A01"/>
    <w:rsid w:val="00AF0028"/>
    <w:rsid w:val="00AF6BF8"/>
    <w:rsid w:val="00B0085B"/>
    <w:rsid w:val="00B00CD4"/>
    <w:rsid w:val="00B142D8"/>
    <w:rsid w:val="00B169E5"/>
    <w:rsid w:val="00B17959"/>
    <w:rsid w:val="00B2151D"/>
    <w:rsid w:val="00B236EC"/>
    <w:rsid w:val="00B2386B"/>
    <w:rsid w:val="00B25023"/>
    <w:rsid w:val="00B26DE6"/>
    <w:rsid w:val="00B26FCE"/>
    <w:rsid w:val="00B308A9"/>
    <w:rsid w:val="00B31045"/>
    <w:rsid w:val="00B325BC"/>
    <w:rsid w:val="00B32B46"/>
    <w:rsid w:val="00B361E8"/>
    <w:rsid w:val="00B36FC6"/>
    <w:rsid w:val="00B37159"/>
    <w:rsid w:val="00B3772F"/>
    <w:rsid w:val="00B408B4"/>
    <w:rsid w:val="00B44289"/>
    <w:rsid w:val="00B45A43"/>
    <w:rsid w:val="00B45C28"/>
    <w:rsid w:val="00B47CDC"/>
    <w:rsid w:val="00B50442"/>
    <w:rsid w:val="00B51980"/>
    <w:rsid w:val="00B52E1B"/>
    <w:rsid w:val="00B53683"/>
    <w:rsid w:val="00B54762"/>
    <w:rsid w:val="00B54A54"/>
    <w:rsid w:val="00B57A43"/>
    <w:rsid w:val="00B65E21"/>
    <w:rsid w:val="00B72FF2"/>
    <w:rsid w:val="00B76EA1"/>
    <w:rsid w:val="00B92EC8"/>
    <w:rsid w:val="00B950F3"/>
    <w:rsid w:val="00B95438"/>
    <w:rsid w:val="00BA0732"/>
    <w:rsid w:val="00BA1D25"/>
    <w:rsid w:val="00BA3DC5"/>
    <w:rsid w:val="00BB1869"/>
    <w:rsid w:val="00BB1FCF"/>
    <w:rsid w:val="00BB209E"/>
    <w:rsid w:val="00BB299A"/>
    <w:rsid w:val="00BB415E"/>
    <w:rsid w:val="00BB77D2"/>
    <w:rsid w:val="00BB795D"/>
    <w:rsid w:val="00BC6229"/>
    <w:rsid w:val="00BC6970"/>
    <w:rsid w:val="00BD34A8"/>
    <w:rsid w:val="00BD516A"/>
    <w:rsid w:val="00BD52D2"/>
    <w:rsid w:val="00BD56B1"/>
    <w:rsid w:val="00BD6C85"/>
    <w:rsid w:val="00BF20E0"/>
    <w:rsid w:val="00BF2824"/>
    <w:rsid w:val="00BF4097"/>
    <w:rsid w:val="00BF55CA"/>
    <w:rsid w:val="00BF60FA"/>
    <w:rsid w:val="00BF6D77"/>
    <w:rsid w:val="00BF6EE5"/>
    <w:rsid w:val="00C01B1E"/>
    <w:rsid w:val="00C04A56"/>
    <w:rsid w:val="00C07BDB"/>
    <w:rsid w:val="00C07D35"/>
    <w:rsid w:val="00C13CAB"/>
    <w:rsid w:val="00C1598B"/>
    <w:rsid w:val="00C20185"/>
    <w:rsid w:val="00C205C2"/>
    <w:rsid w:val="00C20969"/>
    <w:rsid w:val="00C26850"/>
    <w:rsid w:val="00C31A36"/>
    <w:rsid w:val="00C34B2D"/>
    <w:rsid w:val="00C35345"/>
    <w:rsid w:val="00C35C2B"/>
    <w:rsid w:val="00C418D5"/>
    <w:rsid w:val="00C41F14"/>
    <w:rsid w:val="00C43E88"/>
    <w:rsid w:val="00C458BF"/>
    <w:rsid w:val="00C4695E"/>
    <w:rsid w:val="00C52D37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83C33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A7895"/>
    <w:rsid w:val="00CB05B5"/>
    <w:rsid w:val="00CB1A81"/>
    <w:rsid w:val="00CB21F2"/>
    <w:rsid w:val="00CB3E7D"/>
    <w:rsid w:val="00CB5829"/>
    <w:rsid w:val="00CB70F7"/>
    <w:rsid w:val="00CB7FF0"/>
    <w:rsid w:val="00CC2D36"/>
    <w:rsid w:val="00CC776C"/>
    <w:rsid w:val="00CC7D08"/>
    <w:rsid w:val="00CD1D1D"/>
    <w:rsid w:val="00CD39F3"/>
    <w:rsid w:val="00CD6816"/>
    <w:rsid w:val="00CE1B7F"/>
    <w:rsid w:val="00CE1F27"/>
    <w:rsid w:val="00CE4C1F"/>
    <w:rsid w:val="00CE61E4"/>
    <w:rsid w:val="00CF1772"/>
    <w:rsid w:val="00CF68F2"/>
    <w:rsid w:val="00D04681"/>
    <w:rsid w:val="00D053D2"/>
    <w:rsid w:val="00D1153C"/>
    <w:rsid w:val="00D1470F"/>
    <w:rsid w:val="00D14791"/>
    <w:rsid w:val="00D14FD9"/>
    <w:rsid w:val="00D20DEF"/>
    <w:rsid w:val="00D212C6"/>
    <w:rsid w:val="00D26DBC"/>
    <w:rsid w:val="00D271EF"/>
    <w:rsid w:val="00D27E01"/>
    <w:rsid w:val="00D33D52"/>
    <w:rsid w:val="00D3769D"/>
    <w:rsid w:val="00D40365"/>
    <w:rsid w:val="00D51B0B"/>
    <w:rsid w:val="00D52BFB"/>
    <w:rsid w:val="00D55E41"/>
    <w:rsid w:val="00D57231"/>
    <w:rsid w:val="00D61F6C"/>
    <w:rsid w:val="00D62FDE"/>
    <w:rsid w:val="00D63B23"/>
    <w:rsid w:val="00D63F06"/>
    <w:rsid w:val="00D67378"/>
    <w:rsid w:val="00D704C0"/>
    <w:rsid w:val="00D71D76"/>
    <w:rsid w:val="00D80786"/>
    <w:rsid w:val="00D80B59"/>
    <w:rsid w:val="00D8273A"/>
    <w:rsid w:val="00D82B29"/>
    <w:rsid w:val="00D84700"/>
    <w:rsid w:val="00D87733"/>
    <w:rsid w:val="00D87B4B"/>
    <w:rsid w:val="00D96DBE"/>
    <w:rsid w:val="00D971E2"/>
    <w:rsid w:val="00DA2BFA"/>
    <w:rsid w:val="00DA5109"/>
    <w:rsid w:val="00DA57E2"/>
    <w:rsid w:val="00DA6658"/>
    <w:rsid w:val="00DB08ED"/>
    <w:rsid w:val="00DB1161"/>
    <w:rsid w:val="00DB2273"/>
    <w:rsid w:val="00DB3E01"/>
    <w:rsid w:val="00DB3EF2"/>
    <w:rsid w:val="00DB56AA"/>
    <w:rsid w:val="00DC508D"/>
    <w:rsid w:val="00DD044E"/>
    <w:rsid w:val="00DD2355"/>
    <w:rsid w:val="00DD503C"/>
    <w:rsid w:val="00DD5A87"/>
    <w:rsid w:val="00DE0EFB"/>
    <w:rsid w:val="00DE3580"/>
    <w:rsid w:val="00DE4269"/>
    <w:rsid w:val="00DE600C"/>
    <w:rsid w:val="00DF17F4"/>
    <w:rsid w:val="00DF263D"/>
    <w:rsid w:val="00DF59D3"/>
    <w:rsid w:val="00DF643D"/>
    <w:rsid w:val="00E00748"/>
    <w:rsid w:val="00E11605"/>
    <w:rsid w:val="00E124A2"/>
    <w:rsid w:val="00E151E3"/>
    <w:rsid w:val="00E15B43"/>
    <w:rsid w:val="00E17176"/>
    <w:rsid w:val="00E17F79"/>
    <w:rsid w:val="00E211B1"/>
    <w:rsid w:val="00E2483A"/>
    <w:rsid w:val="00E302D0"/>
    <w:rsid w:val="00E31AC1"/>
    <w:rsid w:val="00E3208E"/>
    <w:rsid w:val="00E32126"/>
    <w:rsid w:val="00E337AD"/>
    <w:rsid w:val="00E3606F"/>
    <w:rsid w:val="00E40119"/>
    <w:rsid w:val="00E46291"/>
    <w:rsid w:val="00E46FFC"/>
    <w:rsid w:val="00E47E11"/>
    <w:rsid w:val="00E56875"/>
    <w:rsid w:val="00E56E1A"/>
    <w:rsid w:val="00E57949"/>
    <w:rsid w:val="00E57D49"/>
    <w:rsid w:val="00E71487"/>
    <w:rsid w:val="00E716F0"/>
    <w:rsid w:val="00E777FF"/>
    <w:rsid w:val="00E8191F"/>
    <w:rsid w:val="00E81A68"/>
    <w:rsid w:val="00E84706"/>
    <w:rsid w:val="00E875F3"/>
    <w:rsid w:val="00E910E6"/>
    <w:rsid w:val="00E91307"/>
    <w:rsid w:val="00E9247D"/>
    <w:rsid w:val="00E966A7"/>
    <w:rsid w:val="00E97AF8"/>
    <w:rsid w:val="00EA34BE"/>
    <w:rsid w:val="00EA591E"/>
    <w:rsid w:val="00EA661C"/>
    <w:rsid w:val="00EB0BB0"/>
    <w:rsid w:val="00EB16EF"/>
    <w:rsid w:val="00EB4926"/>
    <w:rsid w:val="00EB4B49"/>
    <w:rsid w:val="00EB53F5"/>
    <w:rsid w:val="00EB5518"/>
    <w:rsid w:val="00EB6FB6"/>
    <w:rsid w:val="00EB7B31"/>
    <w:rsid w:val="00EC1038"/>
    <w:rsid w:val="00EC1D6A"/>
    <w:rsid w:val="00EC279C"/>
    <w:rsid w:val="00EC33CE"/>
    <w:rsid w:val="00ED3C42"/>
    <w:rsid w:val="00ED568A"/>
    <w:rsid w:val="00ED6D01"/>
    <w:rsid w:val="00EE112C"/>
    <w:rsid w:val="00EF4C46"/>
    <w:rsid w:val="00EF4F20"/>
    <w:rsid w:val="00EF6D0B"/>
    <w:rsid w:val="00F00F2B"/>
    <w:rsid w:val="00F01FE3"/>
    <w:rsid w:val="00F04EB2"/>
    <w:rsid w:val="00F0750F"/>
    <w:rsid w:val="00F10B7C"/>
    <w:rsid w:val="00F10C47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2B62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91198"/>
    <w:rsid w:val="00FA1FAA"/>
    <w:rsid w:val="00FB1AA0"/>
    <w:rsid w:val="00FB1B75"/>
    <w:rsid w:val="00FB1D34"/>
    <w:rsid w:val="00FC0285"/>
    <w:rsid w:val="00FC0764"/>
    <w:rsid w:val="00FC2781"/>
    <w:rsid w:val="00FC5DA6"/>
    <w:rsid w:val="00FC7F23"/>
    <w:rsid w:val="00FD2FE3"/>
    <w:rsid w:val="00FD622D"/>
    <w:rsid w:val="00FD63DE"/>
    <w:rsid w:val="00FE05A5"/>
    <w:rsid w:val="00FE295B"/>
    <w:rsid w:val="00FE3DB6"/>
    <w:rsid w:val="00FE4020"/>
    <w:rsid w:val="00FE5642"/>
    <w:rsid w:val="00FE646D"/>
    <w:rsid w:val="00FF0332"/>
    <w:rsid w:val="00FF3966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8F01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01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unctadstat.unctad.org/wds/TableViewer/tableView.aspx?ReportId=3746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ata.worldbank.org/indicator/FP.CPI.TOTL.Z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ctadstat.unctad.org/wds/TableViewer/tableView.aspx?ReportId=967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2021-05-05T14:32:00Z</dcterms:created>
  <dcterms:modified xsi:type="dcterms:W3CDTF">2021-05-05T14:32:00Z</dcterms:modified>
</cp:coreProperties>
</file>